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CE177A4" w14:textId="77777777" w:rsidR="00E7403F" w:rsidRPr="00E7403F" w:rsidRDefault="00E7403F" w:rsidP="00E7403F">
      <w:pPr>
        <w:tabs>
          <w:tab w:val="left" w:pos="3336"/>
        </w:tabs>
        <w:jc w:val="center"/>
        <w:rPr>
          <w:rFonts w:asciiTheme="majorHAnsi" w:hAnsiTheme="majorHAnsi" w:cstheme="majorHAnsi"/>
          <w:b/>
          <w:sz w:val="32"/>
          <w:u w:val="single"/>
          <w:lang w:val="fr-FR"/>
        </w:rPr>
      </w:pPr>
      <w:r w:rsidRPr="00E7403F">
        <w:rPr>
          <w:rFonts w:asciiTheme="majorHAnsi" w:hAnsiTheme="majorHAnsi" w:cstheme="majorHAnsi"/>
          <w:b/>
          <w:sz w:val="32"/>
          <w:u w:val="single"/>
          <w:lang w:val="fr-FR"/>
        </w:rPr>
        <w:t>MODULE :</w:t>
      </w:r>
    </w:p>
    <w:p w14:paraId="40B7753E" w14:textId="159C4BBF" w:rsidR="00E7403F" w:rsidRPr="00E7403F" w:rsidRDefault="00E7403F" w:rsidP="00E7403F">
      <w:pPr>
        <w:tabs>
          <w:tab w:val="left" w:pos="3336"/>
        </w:tabs>
        <w:spacing w:after="0"/>
        <w:jc w:val="center"/>
        <w:rPr>
          <w:rFonts w:asciiTheme="majorHAnsi" w:hAnsiTheme="majorHAnsi" w:cstheme="majorHAnsi"/>
          <w:b/>
          <w:sz w:val="32"/>
          <w:u w:val="single"/>
          <w:lang w:val="fr-FR"/>
        </w:rPr>
      </w:pPr>
      <w:r w:rsidRPr="00E7403F">
        <w:rPr>
          <w:rFonts w:asciiTheme="majorHAnsi" w:hAnsiTheme="majorHAnsi" w:cstheme="majorHAnsi"/>
          <w:b/>
          <w:sz w:val="32"/>
          <w:u w:val="single"/>
          <w:lang w:val="fr-FR"/>
        </w:rPr>
        <w:t xml:space="preserve">PAP QE ne disposant pas d’une partie graphique </w:t>
      </w:r>
      <w:r w:rsidRPr="00E7403F">
        <w:rPr>
          <w:rFonts w:asciiTheme="majorHAnsi" w:hAnsiTheme="majorHAnsi" w:cstheme="majorHAnsi"/>
          <w:b/>
          <w:sz w:val="32"/>
          <w:u w:val="single"/>
          <w:lang w:val="fr-FR"/>
        </w:rPr>
        <w:br/>
        <w:t>fixant les limites de surfaces constructibles pour les constructions destinées au séjour prolongé de personnes</w:t>
      </w:r>
      <w:r w:rsidRPr="00E7403F">
        <w:rPr>
          <w:rFonts w:asciiTheme="majorHAnsi" w:hAnsiTheme="majorHAnsi" w:cstheme="majorHAnsi"/>
          <w:b/>
          <w:sz w:val="32"/>
          <w:u w:val="single"/>
          <w:lang w:val="fr-FR"/>
        </w:rPr>
        <w:br/>
      </w:r>
      <w:r>
        <w:rPr>
          <w:rFonts w:asciiTheme="majorHAnsi" w:hAnsiTheme="majorHAnsi" w:cstheme="majorHAnsi"/>
          <w:b/>
          <w:sz w:val="32"/>
          <w:u w:val="single"/>
          <w:lang w:val="fr-FR"/>
        </w:rPr>
        <w:br/>
      </w:r>
    </w:p>
    <w:p w14:paraId="59199ADF" w14:textId="77777777" w:rsidR="00E7403F" w:rsidRPr="00C431A5" w:rsidRDefault="00E7403F" w:rsidP="00E7403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336"/>
        </w:tabs>
        <w:jc w:val="both"/>
        <w:rPr>
          <w:rFonts w:asciiTheme="majorHAnsi" w:hAnsiTheme="majorHAnsi" w:cstheme="majorHAnsi"/>
          <w:lang w:val="fr-FR"/>
        </w:rPr>
      </w:pPr>
      <w:r w:rsidRPr="00C431A5">
        <w:rPr>
          <w:rFonts w:asciiTheme="majorHAnsi" w:hAnsiTheme="majorHAnsi" w:cstheme="majorHAnsi"/>
          <w:lang w:val="fr-FR"/>
        </w:rPr>
        <w:t>Il est proposé de créer dans les PAP QE ne disposant pas d’une partie graphique fixant les limites de surfaces constructibles pour les constructions un nouveau chapitre ou une nouvelle section à part dédié aux habitations légères</w:t>
      </w:r>
      <w:r w:rsidRPr="00FB65F3">
        <w:rPr>
          <w:rFonts w:asciiTheme="majorHAnsi" w:hAnsiTheme="majorHAnsi" w:cstheme="majorHAnsi"/>
          <w:lang w:val="fr-FR"/>
        </w:rPr>
        <w:t xml:space="preserve"> </w:t>
      </w:r>
      <w:r>
        <w:rPr>
          <w:rFonts w:asciiTheme="majorHAnsi" w:hAnsiTheme="majorHAnsi" w:cstheme="majorHAnsi"/>
          <w:lang w:val="fr-FR"/>
        </w:rPr>
        <w:t>avec les prescriptions proposées ci-dessous</w:t>
      </w:r>
      <w:r w:rsidRPr="00C431A5">
        <w:rPr>
          <w:rFonts w:asciiTheme="majorHAnsi" w:hAnsiTheme="majorHAnsi" w:cstheme="majorHAnsi"/>
          <w:lang w:val="fr-FR"/>
        </w:rPr>
        <w:t>. Il est précisé que si la définition des habitations légères figure d’ores et déjà au niveau du PAG, il n’est pas nécessaire de la reproduire encore une fois au niveau du PAP.</w:t>
      </w:r>
    </w:p>
    <w:p w14:paraId="46574490" w14:textId="77777777" w:rsidR="00E7403F" w:rsidRDefault="00E7403F" w:rsidP="00E7403F">
      <w:pPr>
        <w:tabs>
          <w:tab w:val="left" w:pos="3336"/>
        </w:tabs>
        <w:jc w:val="both"/>
        <w:rPr>
          <w:rFonts w:asciiTheme="majorHAnsi" w:hAnsiTheme="majorHAnsi" w:cstheme="majorHAnsi"/>
          <w:b/>
          <w:i/>
          <w:u w:val="single"/>
          <w:lang w:val="fr-FR"/>
        </w:rPr>
      </w:pPr>
    </w:p>
    <w:p w14:paraId="1CEE2334" w14:textId="743707A3" w:rsidR="00E7403F" w:rsidRDefault="00E7403F" w:rsidP="00E7403F">
      <w:pPr>
        <w:tabs>
          <w:tab w:val="left" w:pos="3336"/>
        </w:tabs>
        <w:spacing w:after="0"/>
        <w:jc w:val="both"/>
        <w:rPr>
          <w:rFonts w:asciiTheme="majorHAnsi" w:hAnsiTheme="majorHAnsi" w:cstheme="majorHAnsi"/>
          <w:b/>
          <w:i/>
          <w:sz w:val="28"/>
          <w:u w:val="single"/>
          <w:lang w:val="fr-FR"/>
        </w:rPr>
      </w:pPr>
      <w:bookmarkStart w:id="0" w:name="_GoBack"/>
      <w:bookmarkEnd w:id="0"/>
      <w:r w:rsidRPr="00E12263">
        <w:rPr>
          <w:rFonts w:asciiTheme="majorHAnsi" w:hAnsiTheme="majorHAnsi" w:cstheme="majorHAnsi"/>
          <w:b/>
          <w:i/>
          <w:sz w:val="28"/>
          <w:u w:val="single"/>
          <w:lang w:val="fr-FR"/>
        </w:rPr>
        <w:t>Dispositions spécifiques pour les habitations légères</w:t>
      </w:r>
    </w:p>
    <w:p w14:paraId="76C94207" w14:textId="77777777" w:rsidR="00E7403F" w:rsidRPr="00E12263" w:rsidRDefault="00E7403F" w:rsidP="00E7403F">
      <w:pPr>
        <w:tabs>
          <w:tab w:val="left" w:pos="3336"/>
        </w:tabs>
        <w:spacing w:after="0"/>
        <w:jc w:val="both"/>
        <w:rPr>
          <w:rFonts w:asciiTheme="majorHAnsi" w:hAnsiTheme="majorHAnsi" w:cstheme="majorHAnsi"/>
          <w:b/>
          <w:i/>
          <w:sz w:val="28"/>
          <w:u w:val="single"/>
          <w:lang w:val="fr-FR"/>
        </w:rPr>
      </w:pPr>
    </w:p>
    <w:p w14:paraId="21F6F2F7" w14:textId="77777777" w:rsidR="00E7403F" w:rsidRPr="00E12263" w:rsidRDefault="00E7403F" w:rsidP="00E7403F">
      <w:pPr>
        <w:pStyle w:val="ListParagraph"/>
        <w:numPr>
          <w:ilvl w:val="0"/>
          <w:numId w:val="6"/>
        </w:numPr>
        <w:tabs>
          <w:tab w:val="left" w:pos="3336"/>
        </w:tabs>
        <w:jc w:val="both"/>
        <w:rPr>
          <w:rFonts w:asciiTheme="majorHAnsi" w:hAnsiTheme="majorHAnsi" w:cstheme="majorHAnsi"/>
          <w:b/>
          <w:i/>
          <w:u w:val="single"/>
          <w:lang w:val="fr-FR"/>
        </w:rPr>
      </w:pPr>
      <w:r>
        <w:rPr>
          <w:rFonts w:asciiTheme="majorHAnsi" w:hAnsiTheme="majorHAnsi" w:cstheme="majorHAnsi"/>
          <w:b/>
          <w:i/>
          <w:u w:val="single"/>
          <w:lang w:val="fr-FR"/>
        </w:rPr>
        <w:t>Définition</w:t>
      </w:r>
    </w:p>
    <w:p w14:paraId="19D3C147" w14:textId="77777777" w:rsidR="00E7403F" w:rsidRPr="00E12263"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Une habitation légère est une construction amovible ou démontable, réalisée ni en maçonnerie ni en béton, constituant une seule unité de logement et présentant une surface construite brute inférieure à 50 mètres carrés.</w:t>
      </w:r>
    </w:p>
    <w:p w14:paraId="6BAA8892" w14:textId="77777777" w:rsidR="00E7403F" w:rsidRPr="00E12263" w:rsidRDefault="00E7403F" w:rsidP="00E7403F">
      <w:pPr>
        <w:tabs>
          <w:tab w:val="left" w:pos="3336"/>
        </w:tabs>
        <w:jc w:val="both"/>
        <w:rPr>
          <w:rFonts w:asciiTheme="majorHAnsi" w:hAnsiTheme="majorHAnsi" w:cstheme="majorHAnsi"/>
          <w:i/>
          <w:lang w:val="fr-FR"/>
        </w:rPr>
      </w:pPr>
    </w:p>
    <w:p w14:paraId="084649B2" w14:textId="77777777" w:rsidR="00E7403F" w:rsidRPr="00E12263" w:rsidRDefault="00E7403F" w:rsidP="00E7403F">
      <w:pPr>
        <w:pStyle w:val="ListParagraph"/>
        <w:numPr>
          <w:ilvl w:val="0"/>
          <w:numId w:val="6"/>
        </w:numPr>
        <w:tabs>
          <w:tab w:val="left" w:pos="3336"/>
        </w:tabs>
        <w:jc w:val="both"/>
        <w:rPr>
          <w:rFonts w:asciiTheme="majorHAnsi" w:hAnsiTheme="majorHAnsi" w:cstheme="majorHAnsi"/>
          <w:b/>
          <w:i/>
          <w:u w:val="single"/>
          <w:lang w:val="fr-FR"/>
        </w:rPr>
      </w:pPr>
      <w:r>
        <w:rPr>
          <w:rFonts w:asciiTheme="majorHAnsi" w:hAnsiTheme="majorHAnsi" w:cstheme="majorHAnsi"/>
          <w:b/>
          <w:i/>
          <w:u w:val="single"/>
          <w:lang w:val="fr-FR"/>
        </w:rPr>
        <w:t>Disposition générale</w:t>
      </w:r>
    </w:p>
    <w:p w14:paraId="0B85E07F" w14:textId="77777777" w:rsidR="00E7403F" w:rsidRPr="00E12263" w:rsidRDefault="00E7403F" w:rsidP="00E7403F">
      <w:pPr>
        <w:tabs>
          <w:tab w:val="left" w:pos="3336"/>
        </w:tabs>
        <w:jc w:val="both"/>
        <w:rPr>
          <w:rFonts w:asciiTheme="majorHAnsi" w:hAnsiTheme="majorHAnsi" w:cstheme="majorHAnsi"/>
          <w:i/>
          <w:lang w:val="fr-FR"/>
        </w:rPr>
      </w:pPr>
      <w:r w:rsidRPr="00E12263">
        <w:rPr>
          <w:rFonts w:asciiTheme="majorHAnsi" w:hAnsiTheme="majorHAnsi" w:cstheme="majorHAnsi"/>
          <w:i/>
          <w:lang w:val="fr-FR"/>
        </w:rPr>
        <w:t>La réalisation d’habitations légères est exclusivement admise sur les parcelles sur lesquelles la réalisation de maisons unifamiliales est autorisée.</w:t>
      </w:r>
    </w:p>
    <w:p w14:paraId="2A022FC5" w14:textId="77777777" w:rsidR="00E7403F" w:rsidRPr="00E12263" w:rsidRDefault="00E7403F" w:rsidP="00E7403F">
      <w:pPr>
        <w:tabs>
          <w:tab w:val="left" w:pos="3336"/>
        </w:tabs>
        <w:jc w:val="both"/>
        <w:rPr>
          <w:rFonts w:asciiTheme="majorHAnsi" w:hAnsiTheme="majorHAnsi" w:cstheme="majorHAnsi"/>
          <w:i/>
          <w:lang w:val="fr-FR"/>
        </w:rPr>
      </w:pPr>
      <w:r w:rsidRPr="00E12263">
        <w:rPr>
          <w:rFonts w:asciiTheme="majorHAnsi" w:hAnsiTheme="majorHAnsi" w:cstheme="majorHAnsi"/>
          <w:i/>
          <w:lang w:val="fr-FR"/>
        </w:rPr>
        <w:t xml:space="preserve">Leur réalisation n’est pas soumise aux dispositions du présent règlement, à l’exception des dispositions de la présente section ainsi que des dispositions portant sur : </w:t>
      </w:r>
    </w:p>
    <w:p w14:paraId="30EF64EB" w14:textId="77777777" w:rsidR="00E7403F" w:rsidRPr="00E12263" w:rsidRDefault="00E7403F" w:rsidP="00E7403F">
      <w:pPr>
        <w:pStyle w:val="ListParagraph"/>
        <w:numPr>
          <w:ilvl w:val="0"/>
          <w:numId w:val="14"/>
        </w:numPr>
        <w:tabs>
          <w:tab w:val="left" w:pos="3336"/>
        </w:tabs>
        <w:jc w:val="both"/>
        <w:rPr>
          <w:rFonts w:asciiTheme="majorHAnsi" w:hAnsiTheme="majorHAnsi" w:cstheme="majorHAnsi"/>
          <w:i/>
          <w:lang w:val="fr-FR"/>
        </w:rPr>
      </w:pPr>
      <w:proofErr w:type="gramStart"/>
      <w:r w:rsidRPr="00E12263">
        <w:rPr>
          <w:rFonts w:asciiTheme="majorHAnsi" w:hAnsiTheme="majorHAnsi" w:cstheme="majorHAnsi"/>
          <w:i/>
          <w:lang w:val="fr-FR"/>
        </w:rPr>
        <w:t>le</w:t>
      </w:r>
      <w:proofErr w:type="gramEnd"/>
      <w:r w:rsidRPr="00E12263">
        <w:rPr>
          <w:rFonts w:asciiTheme="majorHAnsi" w:hAnsiTheme="majorHAnsi" w:cstheme="majorHAnsi"/>
          <w:i/>
          <w:lang w:val="fr-FR"/>
        </w:rPr>
        <w:t xml:space="preserve"> recul antérieur ;</w:t>
      </w:r>
    </w:p>
    <w:p w14:paraId="6AFF68BB" w14:textId="77777777" w:rsidR="00E7403F" w:rsidRPr="00E12263" w:rsidRDefault="00E7403F" w:rsidP="00E7403F">
      <w:pPr>
        <w:pStyle w:val="ListParagraph"/>
        <w:numPr>
          <w:ilvl w:val="0"/>
          <w:numId w:val="14"/>
        </w:numPr>
        <w:tabs>
          <w:tab w:val="left" w:pos="3336"/>
        </w:tabs>
        <w:jc w:val="both"/>
        <w:rPr>
          <w:rFonts w:asciiTheme="majorHAnsi" w:hAnsiTheme="majorHAnsi" w:cstheme="majorHAnsi"/>
          <w:i/>
          <w:lang w:val="fr-FR"/>
        </w:rPr>
      </w:pPr>
      <w:proofErr w:type="gramStart"/>
      <w:r w:rsidRPr="00E12263">
        <w:rPr>
          <w:rFonts w:asciiTheme="majorHAnsi" w:hAnsiTheme="majorHAnsi" w:cstheme="majorHAnsi"/>
          <w:i/>
          <w:lang w:val="fr-FR"/>
        </w:rPr>
        <w:t>l’alignement</w:t>
      </w:r>
      <w:proofErr w:type="gramEnd"/>
      <w:r w:rsidRPr="00E12263">
        <w:rPr>
          <w:rFonts w:asciiTheme="majorHAnsi" w:hAnsiTheme="majorHAnsi" w:cstheme="majorHAnsi"/>
          <w:i/>
          <w:lang w:val="fr-FR"/>
        </w:rPr>
        <w:t xml:space="preserve"> obligatoire pour constructions destinées au séjour prolongé de personnes ;</w:t>
      </w:r>
    </w:p>
    <w:p w14:paraId="6361B435" w14:textId="77777777" w:rsidR="00E7403F" w:rsidRPr="00E12263" w:rsidRDefault="00E7403F" w:rsidP="00E7403F">
      <w:pPr>
        <w:pStyle w:val="ListParagraph"/>
        <w:numPr>
          <w:ilvl w:val="0"/>
          <w:numId w:val="14"/>
        </w:numPr>
        <w:tabs>
          <w:tab w:val="left" w:pos="3336"/>
        </w:tabs>
        <w:jc w:val="both"/>
        <w:rPr>
          <w:rFonts w:asciiTheme="majorHAnsi" w:hAnsiTheme="majorHAnsi" w:cstheme="majorHAnsi"/>
          <w:i/>
          <w:lang w:val="fr-FR"/>
        </w:rPr>
      </w:pPr>
      <w:proofErr w:type="gramStart"/>
      <w:r w:rsidRPr="00E12263">
        <w:rPr>
          <w:rFonts w:asciiTheme="majorHAnsi" w:hAnsiTheme="majorHAnsi" w:cstheme="majorHAnsi"/>
          <w:i/>
          <w:lang w:val="fr-FR"/>
        </w:rPr>
        <w:t>la</w:t>
      </w:r>
      <w:proofErr w:type="gramEnd"/>
      <w:r w:rsidRPr="00E12263">
        <w:rPr>
          <w:rFonts w:asciiTheme="majorHAnsi" w:hAnsiTheme="majorHAnsi" w:cstheme="majorHAnsi"/>
          <w:i/>
          <w:lang w:val="fr-FR"/>
        </w:rPr>
        <w:t xml:space="preserve"> bande de construction</w:t>
      </w:r>
      <w:r>
        <w:rPr>
          <w:rFonts w:asciiTheme="majorHAnsi" w:hAnsiTheme="majorHAnsi" w:cstheme="majorHAnsi"/>
          <w:i/>
          <w:lang w:val="fr-FR"/>
        </w:rPr>
        <w:t>.</w:t>
      </w:r>
    </w:p>
    <w:p w14:paraId="364B5336" w14:textId="77777777" w:rsidR="00E7403F" w:rsidRPr="00E12263" w:rsidRDefault="00E7403F" w:rsidP="00E7403F">
      <w:pPr>
        <w:pStyle w:val="ListParagraph"/>
        <w:tabs>
          <w:tab w:val="left" w:pos="3336"/>
        </w:tabs>
        <w:jc w:val="both"/>
        <w:rPr>
          <w:rFonts w:asciiTheme="majorHAnsi" w:hAnsiTheme="majorHAnsi" w:cstheme="majorHAnsi"/>
          <w:i/>
          <w:lang w:val="fr-FR"/>
        </w:rPr>
      </w:pPr>
      <w:r>
        <w:rPr>
          <w:rFonts w:asciiTheme="majorHAnsi" w:hAnsiTheme="majorHAnsi" w:cstheme="majorHAnsi"/>
          <w:i/>
          <w:lang w:val="fr-FR"/>
        </w:rPr>
        <w:br/>
      </w:r>
    </w:p>
    <w:p w14:paraId="02C3FF0F" w14:textId="77777777" w:rsidR="00E7403F" w:rsidRPr="00E12263" w:rsidRDefault="00E7403F" w:rsidP="00E7403F">
      <w:pPr>
        <w:pStyle w:val="ListParagraph"/>
        <w:numPr>
          <w:ilvl w:val="0"/>
          <w:numId w:val="6"/>
        </w:numPr>
        <w:jc w:val="both"/>
        <w:rPr>
          <w:rFonts w:asciiTheme="majorHAnsi" w:hAnsiTheme="majorHAnsi" w:cstheme="majorHAnsi"/>
          <w:b/>
          <w:i/>
          <w:u w:val="single"/>
          <w:lang w:val="fr-FR"/>
        </w:rPr>
      </w:pPr>
      <w:r>
        <w:rPr>
          <w:rFonts w:asciiTheme="majorHAnsi" w:hAnsiTheme="majorHAnsi" w:cstheme="majorHAnsi"/>
          <w:b/>
          <w:i/>
          <w:u w:val="single"/>
          <w:lang w:val="fr-FR"/>
        </w:rPr>
        <w:t>Lotissement</w:t>
      </w:r>
    </w:p>
    <w:p w14:paraId="341C9E05" w14:textId="77777777" w:rsidR="00E7403F" w:rsidRPr="00E12263"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 xml:space="preserve">Lors d’un lotissement, le dimensionnement de tous les lots constructibles dédiés aux habitations légères doit également permettre la réalisation de constructions destinées au séjour prolongé de personnes autres que les habitations légères, en application des prescriptions afférentes du PAG et du PAP QE. </w:t>
      </w:r>
    </w:p>
    <w:p w14:paraId="48E6E8CE" w14:textId="77777777" w:rsidR="00E7403F" w:rsidRPr="00E12263" w:rsidRDefault="00E7403F" w:rsidP="00E7403F">
      <w:pPr>
        <w:rPr>
          <w:rFonts w:asciiTheme="majorHAnsi" w:hAnsiTheme="majorHAnsi" w:cstheme="majorHAnsi"/>
          <w:i/>
          <w:u w:val="single"/>
          <w:lang w:val="fr-FR"/>
        </w:rPr>
      </w:pPr>
    </w:p>
    <w:p w14:paraId="5D7E0026" w14:textId="77777777" w:rsidR="00E7403F" w:rsidRPr="00E12263" w:rsidRDefault="00E7403F" w:rsidP="00E7403F">
      <w:pPr>
        <w:pStyle w:val="ListParagraph"/>
        <w:numPr>
          <w:ilvl w:val="0"/>
          <w:numId w:val="6"/>
        </w:numPr>
        <w:jc w:val="both"/>
        <w:rPr>
          <w:rFonts w:asciiTheme="majorHAnsi" w:hAnsiTheme="majorHAnsi" w:cstheme="majorHAnsi"/>
          <w:b/>
          <w:i/>
          <w:u w:val="single"/>
          <w:lang w:val="fr-FR"/>
        </w:rPr>
      </w:pPr>
      <w:r>
        <w:rPr>
          <w:rFonts w:asciiTheme="majorHAnsi" w:hAnsiTheme="majorHAnsi" w:cstheme="majorHAnsi"/>
          <w:b/>
          <w:i/>
          <w:u w:val="single"/>
          <w:lang w:val="fr-FR"/>
        </w:rPr>
        <w:t>Sous-sols</w:t>
      </w:r>
    </w:p>
    <w:p w14:paraId="45D89F6D" w14:textId="77777777" w:rsidR="00E7403F" w:rsidRPr="00E12263"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La réalisation de sous-sols est interdite.</w:t>
      </w:r>
    </w:p>
    <w:p w14:paraId="2DAB3590" w14:textId="77777777" w:rsidR="00E7403F" w:rsidRPr="00E12263" w:rsidRDefault="00E7403F" w:rsidP="00E7403F">
      <w:pPr>
        <w:pStyle w:val="ListParagraph"/>
        <w:numPr>
          <w:ilvl w:val="0"/>
          <w:numId w:val="6"/>
        </w:numPr>
        <w:jc w:val="both"/>
        <w:rPr>
          <w:rFonts w:asciiTheme="majorHAnsi" w:hAnsiTheme="majorHAnsi" w:cstheme="majorHAnsi"/>
          <w:b/>
          <w:i/>
          <w:u w:val="single"/>
          <w:lang w:val="fr-FR"/>
        </w:rPr>
      </w:pPr>
      <w:r w:rsidRPr="00E12263">
        <w:rPr>
          <w:rFonts w:asciiTheme="majorHAnsi" w:hAnsiTheme="majorHAnsi" w:cstheme="majorHAnsi"/>
          <w:b/>
          <w:i/>
          <w:u w:val="single"/>
          <w:lang w:val="fr-FR"/>
        </w:rPr>
        <w:lastRenderedPageBreak/>
        <w:t>Fondations et sous-œuvre</w:t>
      </w:r>
    </w:p>
    <w:p w14:paraId="1C32935B" w14:textId="77777777" w:rsidR="00E7403F" w:rsidRPr="00E12263"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 xml:space="preserve">Seuls sont admis comme travaux de consolidation le compactage des terres et la couverture du sol de roche concassé. </w:t>
      </w:r>
    </w:p>
    <w:p w14:paraId="5B4BCCD2" w14:textId="77777777" w:rsidR="00E7403F" w:rsidRPr="00E12263"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 xml:space="preserve">Les fondations de type radiers coulés en béton ou semelles filantes sont interdites, à l’exception des fondations ponctuelles n’excédant pas une profondeur d’un mètre. </w:t>
      </w:r>
    </w:p>
    <w:p w14:paraId="05FD6810" w14:textId="77777777" w:rsidR="00E7403F" w:rsidRPr="00E12263" w:rsidRDefault="00E7403F" w:rsidP="00E7403F">
      <w:pPr>
        <w:jc w:val="both"/>
        <w:rPr>
          <w:rFonts w:asciiTheme="majorHAnsi" w:hAnsiTheme="majorHAnsi" w:cstheme="majorHAnsi"/>
          <w:i/>
          <w:lang w:val="fr-FR"/>
        </w:rPr>
      </w:pPr>
    </w:p>
    <w:p w14:paraId="658DE422" w14:textId="77777777" w:rsidR="00E7403F" w:rsidRPr="00E12263" w:rsidRDefault="00E7403F" w:rsidP="00E7403F">
      <w:pPr>
        <w:pStyle w:val="ListParagraph"/>
        <w:numPr>
          <w:ilvl w:val="0"/>
          <w:numId w:val="9"/>
        </w:numPr>
        <w:jc w:val="both"/>
        <w:rPr>
          <w:rFonts w:asciiTheme="majorHAnsi" w:hAnsiTheme="majorHAnsi" w:cstheme="majorHAnsi"/>
          <w:b/>
          <w:i/>
          <w:u w:val="single"/>
          <w:lang w:val="fr-FR"/>
        </w:rPr>
      </w:pPr>
      <w:r w:rsidRPr="00E12263">
        <w:rPr>
          <w:rFonts w:asciiTheme="majorHAnsi" w:hAnsiTheme="majorHAnsi" w:cstheme="majorHAnsi"/>
          <w:b/>
          <w:i/>
          <w:u w:val="single"/>
          <w:lang w:val="fr-FR"/>
        </w:rPr>
        <w:t>Profondeur de construction</w:t>
      </w:r>
    </w:p>
    <w:p w14:paraId="0F75E0A5" w14:textId="77777777" w:rsidR="00E7403F" w:rsidRPr="00E12263"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 xml:space="preserve">Aucune profondeur de construction n’est prescrite. </w:t>
      </w:r>
    </w:p>
    <w:p w14:paraId="3837C9D2" w14:textId="77777777" w:rsidR="00E7403F" w:rsidRPr="00E12263" w:rsidRDefault="00E7403F" w:rsidP="00E7403F">
      <w:pPr>
        <w:jc w:val="both"/>
        <w:rPr>
          <w:rFonts w:asciiTheme="majorHAnsi" w:hAnsiTheme="majorHAnsi" w:cstheme="majorHAnsi"/>
          <w:i/>
          <w:lang w:val="fr-FR"/>
        </w:rPr>
      </w:pPr>
    </w:p>
    <w:p w14:paraId="4F4659C0" w14:textId="77777777" w:rsidR="00E7403F" w:rsidRPr="00E12263" w:rsidRDefault="00E7403F" w:rsidP="00E7403F">
      <w:pPr>
        <w:pStyle w:val="ListParagraph"/>
        <w:numPr>
          <w:ilvl w:val="0"/>
          <w:numId w:val="6"/>
        </w:numPr>
        <w:jc w:val="both"/>
        <w:rPr>
          <w:rFonts w:asciiTheme="majorHAnsi" w:hAnsiTheme="majorHAnsi" w:cstheme="majorHAnsi"/>
          <w:b/>
          <w:i/>
          <w:u w:val="single"/>
          <w:lang w:val="fr-FR"/>
        </w:rPr>
      </w:pPr>
      <w:r w:rsidRPr="00E12263">
        <w:rPr>
          <w:rFonts w:asciiTheme="majorHAnsi" w:hAnsiTheme="majorHAnsi" w:cstheme="majorHAnsi"/>
          <w:b/>
          <w:i/>
          <w:u w:val="single"/>
          <w:lang w:val="fr-FR"/>
        </w:rPr>
        <w:t>Implantation et reculs</w:t>
      </w:r>
    </w:p>
    <w:p w14:paraId="58EDFA22" w14:textId="77777777" w:rsidR="00E7403F" w:rsidRPr="00E12263"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Les habitations légères sont implantées de manière isolée.</w:t>
      </w:r>
    </w:p>
    <w:p w14:paraId="3CA1CCF5" w14:textId="77777777" w:rsidR="00E7403F" w:rsidRPr="00E12263"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Elles doivent respecter des reculs latéraux de deux mètres, respectivement un recul postérieur de cinq mètres.</w:t>
      </w:r>
    </w:p>
    <w:p w14:paraId="2640AE58" w14:textId="77777777" w:rsidR="00E7403F" w:rsidRPr="00E12263"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 xml:space="preserve">L’habitation légère doit respecter une distance de </w:t>
      </w:r>
      <w:r>
        <w:rPr>
          <w:rFonts w:asciiTheme="majorHAnsi" w:hAnsiTheme="majorHAnsi" w:cstheme="majorHAnsi"/>
          <w:i/>
          <w:lang w:val="fr-FR"/>
        </w:rPr>
        <w:t>quatre</w:t>
      </w:r>
      <w:r w:rsidRPr="00E12263">
        <w:rPr>
          <w:rFonts w:asciiTheme="majorHAnsi" w:hAnsiTheme="majorHAnsi" w:cstheme="majorHAnsi"/>
          <w:i/>
          <w:lang w:val="fr-FR"/>
        </w:rPr>
        <w:t xml:space="preserve"> mètres au moins par rapport à toute</w:t>
      </w:r>
      <w:r>
        <w:rPr>
          <w:rFonts w:asciiTheme="majorHAnsi" w:hAnsiTheme="majorHAnsi" w:cstheme="majorHAnsi"/>
          <w:i/>
          <w:lang w:val="fr-FR"/>
        </w:rPr>
        <w:t xml:space="preserve"> autre</w:t>
      </w:r>
      <w:r w:rsidRPr="00E12263">
        <w:rPr>
          <w:rFonts w:asciiTheme="majorHAnsi" w:hAnsiTheme="majorHAnsi" w:cstheme="majorHAnsi"/>
          <w:i/>
          <w:lang w:val="fr-FR"/>
        </w:rPr>
        <w:t xml:space="preserve"> construction destinée au séjour prolongé de personnes implantée sur la même parcelle. Si l’habitation légère se trouve en </w:t>
      </w:r>
      <w:r>
        <w:rPr>
          <w:rFonts w:asciiTheme="majorHAnsi" w:hAnsiTheme="majorHAnsi" w:cstheme="majorHAnsi"/>
          <w:i/>
          <w:lang w:val="fr-FR"/>
        </w:rPr>
        <w:t>deuxième ligne</w:t>
      </w:r>
      <w:r w:rsidRPr="00E12263">
        <w:rPr>
          <w:rFonts w:asciiTheme="majorHAnsi" w:hAnsiTheme="majorHAnsi" w:cstheme="majorHAnsi"/>
          <w:i/>
          <w:lang w:val="fr-FR"/>
        </w:rPr>
        <w:t xml:space="preserve"> par rapport à une construction destinée au séjour prolongé de personnes autre qu’une habitation légère, elle doit observer le recul postérieur minimal réglementaire de cette construction, majoré de deux mètres.</w:t>
      </w:r>
    </w:p>
    <w:p w14:paraId="1A6D298F" w14:textId="77777777" w:rsidR="00E7403F" w:rsidRDefault="00E7403F" w:rsidP="00E7403F">
      <w:pPr>
        <w:jc w:val="both"/>
        <w:rPr>
          <w:rFonts w:asciiTheme="majorHAnsi" w:hAnsiTheme="majorHAnsi" w:cstheme="majorHAnsi"/>
          <w:b/>
          <w:i/>
          <w:lang w:val="fr-FR"/>
        </w:rPr>
      </w:pPr>
      <w:r>
        <w:rPr>
          <w:rFonts w:asciiTheme="majorHAnsi" w:hAnsiTheme="majorHAnsi" w:cstheme="majorHAnsi"/>
          <w:i/>
          <w:lang w:val="fr-FR"/>
        </w:rPr>
        <w:t>Le cas échéant, ces</w:t>
      </w:r>
      <w:r w:rsidRPr="003E6390">
        <w:rPr>
          <w:rFonts w:asciiTheme="majorHAnsi" w:hAnsiTheme="majorHAnsi" w:cstheme="majorHAnsi"/>
          <w:i/>
          <w:lang w:val="fr-FR"/>
        </w:rPr>
        <w:t xml:space="preserve"> </w:t>
      </w:r>
      <w:r>
        <w:rPr>
          <w:rFonts w:asciiTheme="majorHAnsi" w:hAnsiTheme="majorHAnsi" w:cstheme="majorHAnsi"/>
          <w:i/>
          <w:lang w:val="fr-FR"/>
        </w:rPr>
        <w:t xml:space="preserve">distances sont </w:t>
      </w:r>
      <w:r w:rsidRPr="003E6390">
        <w:rPr>
          <w:rFonts w:asciiTheme="majorHAnsi" w:hAnsiTheme="majorHAnsi" w:cstheme="majorHAnsi"/>
          <w:i/>
          <w:lang w:val="fr-FR"/>
        </w:rPr>
        <w:t>majorée</w:t>
      </w:r>
      <w:r>
        <w:rPr>
          <w:rFonts w:asciiTheme="majorHAnsi" w:hAnsiTheme="majorHAnsi" w:cstheme="majorHAnsi"/>
          <w:i/>
          <w:lang w:val="fr-FR"/>
        </w:rPr>
        <w:t>s</w:t>
      </w:r>
      <w:r w:rsidRPr="003E6390">
        <w:rPr>
          <w:rFonts w:asciiTheme="majorHAnsi" w:hAnsiTheme="majorHAnsi" w:cstheme="majorHAnsi"/>
          <w:i/>
          <w:lang w:val="fr-FR"/>
        </w:rPr>
        <w:t xml:space="preserve"> à concurrence de la profondeur de la t</w:t>
      </w:r>
      <w:r>
        <w:rPr>
          <w:rFonts w:asciiTheme="majorHAnsi" w:hAnsiTheme="majorHAnsi" w:cstheme="majorHAnsi"/>
          <w:i/>
          <w:lang w:val="fr-FR"/>
        </w:rPr>
        <w:t>errasse de l’habitation légère si cette terrasse est aménagée dans les espaces à respecter entre les constructions, évoqués à l’alinéa précédent.</w:t>
      </w:r>
    </w:p>
    <w:p w14:paraId="68E00047" w14:textId="6DF2AAA9" w:rsidR="00E7403F" w:rsidRDefault="00E7403F" w:rsidP="00E7403F">
      <w:pPr>
        <w:jc w:val="center"/>
        <w:rPr>
          <w:rFonts w:asciiTheme="majorHAnsi" w:hAnsiTheme="majorHAnsi" w:cstheme="majorHAnsi"/>
          <w:b/>
          <w:i/>
          <w:lang w:val="fr-FR"/>
        </w:rPr>
      </w:pPr>
      <w:r>
        <w:rPr>
          <w:rFonts w:asciiTheme="majorHAnsi" w:hAnsiTheme="majorHAnsi" w:cstheme="majorHAnsi"/>
          <w:b/>
          <w:i/>
          <w:noProof/>
        </w:rPr>
        <w:drawing>
          <wp:inline distT="0" distB="0" distL="0" distR="0" wp14:anchorId="541BE2C7" wp14:editId="01E94B19">
            <wp:extent cx="2228850" cy="3133725"/>
            <wp:effectExtent l="0" t="0" r="0" b="9525"/>
            <wp:docPr id="2" name="Picture 2" descr="11_Image reculs Q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Image reculs QE_1"/>
                    <pic:cNvPicPr>
                      <a:picLocks noChangeAspect="1" noChangeArrowheads="1"/>
                    </pic:cNvPicPr>
                  </pic:nvPicPr>
                  <pic:blipFill>
                    <a:blip r:embed="rId8">
                      <a:extLst>
                        <a:ext uri="{28A0092B-C50C-407E-A947-70E740481C1C}">
                          <a14:useLocalDpi xmlns:a14="http://schemas.microsoft.com/office/drawing/2010/main" val="0"/>
                        </a:ext>
                      </a:extLst>
                    </a:blip>
                    <a:srcRect l="29649" r="31538" b="8548"/>
                    <a:stretch>
                      <a:fillRect/>
                    </a:stretch>
                  </pic:blipFill>
                  <pic:spPr bwMode="auto">
                    <a:xfrm>
                      <a:off x="0" y="0"/>
                      <a:ext cx="2228850" cy="3133725"/>
                    </a:xfrm>
                    <a:prstGeom prst="rect">
                      <a:avLst/>
                    </a:prstGeom>
                    <a:noFill/>
                    <a:ln>
                      <a:noFill/>
                    </a:ln>
                  </pic:spPr>
                </pic:pic>
              </a:graphicData>
            </a:graphic>
          </wp:inline>
        </w:drawing>
      </w:r>
    </w:p>
    <w:p w14:paraId="74779FDF" w14:textId="77777777" w:rsidR="00E7403F" w:rsidRDefault="00E7403F" w:rsidP="00E7403F">
      <w:pPr>
        <w:jc w:val="center"/>
        <w:rPr>
          <w:rFonts w:asciiTheme="majorHAnsi" w:hAnsiTheme="majorHAnsi" w:cstheme="majorHAnsi"/>
          <w:b/>
          <w:i/>
          <w:lang w:val="fr-FR"/>
        </w:rPr>
      </w:pPr>
    </w:p>
    <w:p w14:paraId="2C3D266C" w14:textId="77777777" w:rsidR="00E7403F" w:rsidRPr="00853E47" w:rsidRDefault="00E7403F" w:rsidP="00E7403F">
      <w:pPr>
        <w:jc w:val="center"/>
        <w:rPr>
          <w:rFonts w:asciiTheme="majorHAnsi" w:hAnsiTheme="majorHAnsi" w:cstheme="majorHAnsi"/>
          <w:b/>
          <w:i/>
          <w:lang w:val="fr-FR"/>
        </w:rPr>
      </w:pPr>
    </w:p>
    <w:p w14:paraId="40F7D32D" w14:textId="77777777" w:rsidR="00E7403F" w:rsidRPr="00E12263" w:rsidRDefault="00E7403F" w:rsidP="00E7403F">
      <w:pPr>
        <w:pStyle w:val="ListParagraph"/>
        <w:numPr>
          <w:ilvl w:val="0"/>
          <w:numId w:val="6"/>
        </w:numPr>
        <w:jc w:val="both"/>
        <w:rPr>
          <w:rFonts w:asciiTheme="majorHAnsi" w:hAnsiTheme="majorHAnsi" w:cstheme="majorHAnsi"/>
          <w:b/>
          <w:i/>
          <w:u w:val="single"/>
          <w:lang w:val="fr-FR"/>
        </w:rPr>
      </w:pPr>
      <w:r w:rsidRPr="00E12263">
        <w:rPr>
          <w:rFonts w:asciiTheme="majorHAnsi" w:hAnsiTheme="majorHAnsi" w:cstheme="majorHAnsi"/>
          <w:b/>
          <w:i/>
          <w:u w:val="single"/>
          <w:lang w:val="fr-FR"/>
        </w:rPr>
        <w:lastRenderedPageBreak/>
        <w:t>Hauteur et nombre de niveaux</w:t>
      </w:r>
    </w:p>
    <w:p w14:paraId="7E6D4C4C" w14:textId="77777777" w:rsidR="00E7403F" w:rsidRPr="00E12263" w:rsidRDefault="00E7403F" w:rsidP="00E7403F">
      <w:pPr>
        <w:jc w:val="both"/>
        <w:rPr>
          <w:rFonts w:asciiTheme="majorHAnsi" w:hAnsiTheme="majorHAnsi" w:cstheme="majorHAnsi"/>
          <w:i/>
          <w:color w:val="949494" w:themeColor="accent6" w:themeTint="99"/>
          <w:lang w:val="fr-FR"/>
        </w:rPr>
      </w:pPr>
      <w:r w:rsidRPr="00E12263">
        <w:rPr>
          <w:rFonts w:asciiTheme="majorHAnsi" w:hAnsiTheme="majorHAnsi" w:cstheme="majorHAnsi"/>
          <w:i/>
          <w:lang w:val="fr-FR"/>
        </w:rPr>
        <w:t>La hauteur hors tout ne peut dépasser les cinq mètres et quatre-vingt</w:t>
      </w:r>
      <w:r>
        <w:rPr>
          <w:rFonts w:asciiTheme="majorHAnsi" w:hAnsiTheme="majorHAnsi" w:cstheme="majorHAnsi"/>
          <w:i/>
          <w:lang w:val="fr-FR"/>
        </w:rPr>
        <w:t>s</w:t>
      </w:r>
      <w:r w:rsidRPr="00E12263">
        <w:rPr>
          <w:rFonts w:asciiTheme="majorHAnsi" w:hAnsiTheme="majorHAnsi" w:cstheme="majorHAnsi"/>
          <w:i/>
          <w:lang w:val="fr-FR"/>
        </w:rPr>
        <w:t xml:space="preserve"> centimètres à partir du niveau du terrain.</w:t>
      </w:r>
    </w:p>
    <w:p w14:paraId="4214EF7A" w14:textId="77777777" w:rsidR="00E7403F"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 xml:space="preserve">Le nombre de niveaux est de deux au maximum.  </w:t>
      </w:r>
    </w:p>
    <w:p w14:paraId="3833FC81" w14:textId="78837325" w:rsidR="00E7403F" w:rsidRDefault="0028598E" w:rsidP="00E7403F">
      <w:pPr>
        <w:jc w:val="both"/>
        <w:rPr>
          <w:rFonts w:asciiTheme="majorHAnsi" w:hAnsiTheme="majorHAnsi" w:cstheme="majorHAnsi"/>
          <w:i/>
          <w:lang w:val="fr-FR"/>
        </w:rPr>
      </w:pPr>
      <w:r>
        <w:rPr>
          <w:noProof/>
        </w:rPr>
        <w:drawing>
          <wp:inline distT="0" distB="0" distL="0" distR="0" wp14:anchorId="1A01F437" wp14:editId="6F8ED099">
            <wp:extent cx="5731510" cy="21431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143125"/>
                    </a:xfrm>
                    <a:prstGeom prst="rect">
                      <a:avLst/>
                    </a:prstGeom>
                  </pic:spPr>
                </pic:pic>
              </a:graphicData>
            </a:graphic>
          </wp:inline>
        </w:drawing>
      </w:r>
    </w:p>
    <w:p w14:paraId="65E53BCA" w14:textId="77777777" w:rsidR="0028598E" w:rsidRDefault="0028598E" w:rsidP="00E7403F">
      <w:pPr>
        <w:jc w:val="both"/>
        <w:rPr>
          <w:rFonts w:asciiTheme="majorHAnsi" w:hAnsiTheme="majorHAnsi" w:cstheme="majorHAnsi"/>
          <w:i/>
          <w:lang w:val="fr-FR"/>
        </w:rPr>
      </w:pPr>
    </w:p>
    <w:p w14:paraId="3D6AAAE5" w14:textId="77777777" w:rsidR="00E7403F" w:rsidRPr="00E12263" w:rsidRDefault="00E7403F" w:rsidP="00E7403F">
      <w:pPr>
        <w:pStyle w:val="ListParagraph"/>
        <w:numPr>
          <w:ilvl w:val="0"/>
          <w:numId w:val="6"/>
        </w:numPr>
        <w:jc w:val="both"/>
        <w:rPr>
          <w:rFonts w:asciiTheme="majorHAnsi" w:hAnsiTheme="majorHAnsi" w:cstheme="majorHAnsi"/>
          <w:b/>
          <w:i/>
          <w:u w:val="single"/>
          <w:lang w:val="fr-FR"/>
        </w:rPr>
      </w:pPr>
      <w:r w:rsidRPr="00E12263">
        <w:rPr>
          <w:rFonts w:asciiTheme="majorHAnsi" w:hAnsiTheme="majorHAnsi" w:cstheme="majorHAnsi"/>
          <w:b/>
          <w:i/>
          <w:u w:val="single"/>
          <w:lang w:val="fr-FR"/>
        </w:rPr>
        <w:t>Aménagements extérieurs</w:t>
      </w:r>
    </w:p>
    <w:p w14:paraId="402AD85A" w14:textId="77777777" w:rsidR="00E7403F" w:rsidRPr="00E12263"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Les aménagements extérieurs sont réalisés sans scellement du sol ni maçonnerie ou béton. Les jardins en gravier sont interdits.</w:t>
      </w:r>
    </w:p>
    <w:p w14:paraId="46BAC146" w14:textId="77777777" w:rsidR="00E7403F" w:rsidRPr="00E12263" w:rsidRDefault="00E7403F" w:rsidP="00E7403F">
      <w:pPr>
        <w:jc w:val="both"/>
        <w:rPr>
          <w:rFonts w:asciiTheme="majorHAnsi" w:hAnsiTheme="majorHAnsi" w:cstheme="majorHAnsi"/>
          <w:i/>
          <w:lang w:val="fr-FR"/>
        </w:rPr>
      </w:pPr>
    </w:p>
    <w:p w14:paraId="05956656" w14:textId="77777777" w:rsidR="00E7403F" w:rsidRPr="00E12263" w:rsidRDefault="00E7403F" w:rsidP="00E7403F">
      <w:pPr>
        <w:pStyle w:val="ListParagraph"/>
        <w:numPr>
          <w:ilvl w:val="0"/>
          <w:numId w:val="6"/>
        </w:numPr>
        <w:jc w:val="both"/>
        <w:rPr>
          <w:rFonts w:asciiTheme="majorHAnsi" w:hAnsiTheme="majorHAnsi" w:cstheme="majorHAnsi"/>
          <w:b/>
          <w:i/>
          <w:u w:val="single"/>
          <w:lang w:val="fr-FR"/>
        </w:rPr>
      </w:pPr>
      <w:r w:rsidRPr="00E12263">
        <w:rPr>
          <w:rFonts w:asciiTheme="majorHAnsi" w:hAnsiTheme="majorHAnsi" w:cstheme="majorHAnsi"/>
          <w:b/>
          <w:i/>
          <w:u w:val="single"/>
          <w:lang w:val="fr-FR"/>
        </w:rPr>
        <w:t>Types de toiture</w:t>
      </w:r>
    </w:p>
    <w:p w14:paraId="4F83A4CB" w14:textId="77777777" w:rsidR="00E7403F" w:rsidRDefault="00E7403F" w:rsidP="00E7403F">
      <w:pPr>
        <w:rPr>
          <w:rFonts w:asciiTheme="majorHAnsi" w:hAnsiTheme="majorHAnsi" w:cstheme="majorHAnsi"/>
          <w:i/>
          <w:lang w:val="fr-FR"/>
        </w:rPr>
      </w:pPr>
      <w:r>
        <w:rPr>
          <w:rFonts w:asciiTheme="majorHAnsi" w:hAnsiTheme="majorHAnsi" w:cstheme="majorHAnsi"/>
          <w:i/>
          <w:lang w:val="fr-FR"/>
        </w:rPr>
        <w:t xml:space="preserve">Toutes les formes de toiture sont autorisées. </w:t>
      </w:r>
    </w:p>
    <w:p w14:paraId="0855D864" w14:textId="77777777" w:rsidR="00E7403F" w:rsidRDefault="00E7403F" w:rsidP="00E7403F">
      <w:pPr>
        <w:rPr>
          <w:rFonts w:asciiTheme="majorHAnsi" w:hAnsiTheme="majorHAnsi" w:cstheme="majorHAnsi"/>
          <w:i/>
          <w:lang w:val="fr-FR"/>
        </w:rPr>
      </w:pPr>
    </w:p>
    <w:p w14:paraId="605B233B" w14:textId="77777777" w:rsidR="00E7403F" w:rsidRPr="00E12263" w:rsidRDefault="00E7403F" w:rsidP="00E7403F">
      <w:pPr>
        <w:pStyle w:val="ListParagraph"/>
        <w:numPr>
          <w:ilvl w:val="0"/>
          <w:numId w:val="10"/>
        </w:numPr>
        <w:jc w:val="both"/>
        <w:rPr>
          <w:rFonts w:asciiTheme="majorHAnsi" w:hAnsiTheme="majorHAnsi" w:cstheme="majorHAnsi"/>
          <w:b/>
          <w:i/>
          <w:u w:val="single"/>
          <w:lang w:val="fr-FR"/>
        </w:rPr>
      </w:pPr>
      <w:r w:rsidRPr="00E12263">
        <w:rPr>
          <w:rFonts w:asciiTheme="majorHAnsi" w:hAnsiTheme="majorHAnsi" w:cstheme="majorHAnsi"/>
          <w:b/>
          <w:i/>
          <w:u w:val="single"/>
          <w:lang w:val="fr-FR"/>
        </w:rPr>
        <w:t>Dispositions relatives aux secteurs protégés de type « environnement construit »</w:t>
      </w:r>
    </w:p>
    <w:p w14:paraId="23638366" w14:textId="77777777" w:rsidR="00E7403F" w:rsidRPr="00E12263" w:rsidRDefault="00E7403F" w:rsidP="00E7403F">
      <w:pPr>
        <w:jc w:val="both"/>
        <w:rPr>
          <w:rFonts w:asciiTheme="majorHAnsi" w:hAnsiTheme="majorHAnsi" w:cstheme="majorHAnsi"/>
          <w:i/>
          <w:lang w:val="fr-FR"/>
        </w:rPr>
      </w:pPr>
      <w:r w:rsidRPr="00E12263">
        <w:rPr>
          <w:rFonts w:asciiTheme="majorHAnsi" w:hAnsiTheme="majorHAnsi" w:cstheme="majorHAnsi"/>
          <w:i/>
          <w:lang w:val="fr-FR"/>
        </w:rPr>
        <w:t xml:space="preserve">Les dispositions </w:t>
      </w:r>
      <w:r>
        <w:rPr>
          <w:rFonts w:asciiTheme="majorHAnsi" w:hAnsiTheme="majorHAnsi" w:cstheme="majorHAnsi"/>
          <w:i/>
          <w:lang w:val="fr-FR"/>
        </w:rPr>
        <w:t xml:space="preserve">du présent règlement </w:t>
      </w:r>
      <w:r w:rsidRPr="00E12263">
        <w:rPr>
          <w:rFonts w:asciiTheme="majorHAnsi" w:hAnsiTheme="majorHAnsi" w:cstheme="majorHAnsi"/>
          <w:i/>
          <w:lang w:val="fr-FR"/>
        </w:rPr>
        <w:t>relatives aux secteurs protégés de type « environnement construit » ne s’appliquent pas pour les habitations légères, à l’exception, le cas échéant, des dispositions portant sur les constructions à préserver et des dispositions portant sur l</w:t>
      </w:r>
      <w:r>
        <w:rPr>
          <w:rFonts w:asciiTheme="majorHAnsi" w:hAnsiTheme="majorHAnsi" w:cstheme="majorHAnsi"/>
          <w:i/>
          <w:lang w:val="fr-FR"/>
        </w:rPr>
        <w:t>e petit patrimoine à conserver</w:t>
      </w:r>
      <w:r w:rsidRPr="00E12263">
        <w:rPr>
          <w:rFonts w:asciiTheme="majorHAnsi" w:hAnsiTheme="majorHAnsi" w:cstheme="majorHAnsi"/>
          <w:i/>
          <w:lang w:val="fr-FR"/>
        </w:rPr>
        <w:t xml:space="preserve">. </w:t>
      </w:r>
    </w:p>
    <w:p w14:paraId="3BB4A849" w14:textId="77777777" w:rsidR="00E7403F" w:rsidRPr="00E12263" w:rsidRDefault="00E7403F" w:rsidP="00E7403F">
      <w:pPr>
        <w:jc w:val="both"/>
        <w:rPr>
          <w:rFonts w:asciiTheme="majorHAnsi" w:hAnsiTheme="majorHAnsi" w:cstheme="majorHAnsi"/>
          <w:i/>
          <w:u w:val="single"/>
          <w:lang w:val="fr-FR"/>
        </w:rPr>
      </w:pPr>
    </w:p>
    <w:p w14:paraId="1CA8D642" w14:textId="77777777" w:rsidR="00E7403F" w:rsidRPr="00E12263" w:rsidRDefault="00E7403F" w:rsidP="00E7403F">
      <w:pPr>
        <w:pStyle w:val="ListParagraph"/>
        <w:numPr>
          <w:ilvl w:val="0"/>
          <w:numId w:val="10"/>
        </w:numPr>
        <w:jc w:val="both"/>
        <w:rPr>
          <w:rFonts w:asciiTheme="majorHAnsi" w:hAnsiTheme="majorHAnsi" w:cstheme="majorHAnsi"/>
          <w:b/>
          <w:i/>
          <w:u w:val="single"/>
          <w:lang w:val="fr-FR"/>
        </w:rPr>
      </w:pPr>
      <w:r w:rsidRPr="00E12263">
        <w:rPr>
          <w:rFonts w:asciiTheme="majorHAnsi" w:hAnsiTheme="majorHAnsi" w:cstheme="majorHAnsi"/>
          <w:b/>
          <w:i/>
          <w:u w:val="single"/>
          <w:lang w:val="fr-FR"/>
        </w:rPr>
        <w:t>Alignement obligatoire pour constructions destinées au séjour prolongé de personnes</w:t>
      </w:r>
    </w:p>
    <w:p w14:paraId="14305E5F" w14:textId="3816EE86" w:rsidR="00E7403F" w:rsidRPr="00E12263" w:rsidRDefault="00E7403F" w:rsidP="00E7403F">
      <w:pPr>
        <w:jc w:val="both"/>
        <w:rPr>
          <w:rFonts w:asciiTheme="majorHAnsi" w:hAnsiTheme="majorHAnsi" w:cstheme="majorHAnsi"/>
          <w:i/>
          <w:lang w:val="fr-FR"/>
        </w:rPr>
      </w:pPr>
      <w:r>
        <w:rPr>
          <w:rFonts w:asciiTheme="majorHAnsi" w:hAnsiTheme="majorHAnsi" w:cstheme="majorHAnsi"/>
          <w:i/>
          <w:lang w:val="fr-FR"/>
        </w:rPr>
        <w:t>Le</w:t>
      </w:r>
      <w:r w:rsidRPr="00E12263">
        <w:rPr>
          <w:rFonts w:asciiTheme="majorHAnsi" w:hAnsiTheme="majorHAnsi" w:cstheme="majorHAnsi"/>
          <w:i/>
          <w:lang w:val="fr-FR"/>
        </w:rPr>
        <w:t xml:space="preserve"> bourgmestre peut déroger partiellement à l’alignement obligatoire pour constructions destinées au séjour prolongé de personnes</w:t>
      </w:r>
      <w:r>
        <w:rPr>
          <w:rFonts w:asciiTheme="majorHAnsi" w:hAnsiTheme="majorHAnsi" w:cstheme="majorHAnsi"/>
          <w:i/>
          <w:lang w:val="fr-FR"/>
        </w:rPr>
        <w:t xml:space="preserve"> du présent règlement</w:t>
      </w:r>
      <w:r w:rsidRPr="00E12263">
        <w:rPr>
          <w:rFonts w:asciiTheme="majorHAnsi" w:hAnsiTheme="majorHAnsi" w:cstheme="majorHAnsi"/>
          <w:i/>
          <w:lang w:val="fr-FR"/>
        </w:rPr>
        <w:t>, de manière à limiter cet alignement à la largeur d</w:t>
      </w:r>
      <w:r>
        <w:rPr>
          <w:rFonts w:asciiTheme="majorHAnsi" w:hAnsiTheme="majorHAnsi" w:cstheme="majorHAnsi"/>
          <w:i/>
          <w:lang w:val="fr-FR"/>
        </w:rPr>
        <w:t>e l’habitation légère projetée</w:t>
      </w:r>
      <w:r w:rsidRPr="00E12263">
        <w:rPr>
          <w:rFonts w:asciiTheme="majorHAnsi" w:hAnsiTheme="majorHAnsi" w:cstheme="majorHAnsi"/>
          <w:i/>
          <w:lang w:val="fr-FR"/>
        </w:rPr>
        <w:t>.</w:t>
      </w:r>
      <w:r w:rsidR="001C1834">
        <w:rPr>
          <w:rFonts w:asciiTheme="majorHAnsi" w:hAnsiTheme="majorHAnsi" w:cstheme="majorHAnsi"/>
          <w:i/>
          <w:lang w:val="fr-FR"/>
        </w:rPr>
        <w:t> </w:t>
      </w:r>
    </w:p>
    <w:p w14:paraId="071A9FA0" w14:textId="7DED3A6C" w:rsidR="00F069EE" w:rsidRPr="00E7403F" w:rsidRDefault="00F069EE" w:rsidP="00E7403F">
      <w:pPr>
        <w:rPr>
          <w:lang w:val="fr-FR"/>
        </w:rPr>
      </w:pPr>
    </w:p>
    <w:sectPr w:rsidR="00F069EE" w:rsidRPr="00E7403F" w:rsidSect="00EB2CE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F11C7" w14:textId="77777777" w:rsidR="00AB6827" w:rsidRDefault="00AB6827" w:rsidP="00CA71DA">
      <w:pPr>
        <w:spacing w:after="0" w:line="240" w:lineRule="auto"/>
      </w:pPr>
      <w:r>
        <w:separator/>
      </w:r>
    </w:p>
  </w:endnote>
  <w:endnote w:type="continuationSeparator" w:id="0">
    <w:p w14:paraId="0BE826B7" w14:textId="77777777" w:rsidR="00AB6827" w:rsidRDefault="00AB6827" w:rsidP="00CA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7110" w14:textId="77777777" w:rsidR="00AB6827" w:rsidRDefault="00AB6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47633"/>
      <w:docPartObj>
        <w:docPartGallery w:val="Page Numbers (Bottom of Page)"/>
        <w:docPartUnique/>
      </w:docPartObj>
    </w:sdtPr>
    <w:sdtEndPr>
      <w:rPr>
        <w:noProof/>
      </w:rPr>
    </w:sdtEndPr>
    <w:sdtContent>
      <w:p w14:paraId="18C34C47" w14:textId="68895B91" w:rsidR="00AB6827" w:rsidRDefault="00AB6827">
        <w:pPr>
          <w:pStyle w:val="Footer"/>
          <w:jc w:val="right"/>
        </w:pPr>
        <w:r>
          <w:fldChar w:fldCharType="begin"/>
        </w:r>
        <w:r>
          <w:instrText xml:space="preserve"> PAGE   \* MERGEFORMAT </w:instrText>
        </w:r>
        <w:r>
          <w:fldChar w:fldCharType="separate"/>
        </w:r>
        <w:r w:rsidR="001C1834">
          <w:rPr>
            <w:noProof/>
          </w:rPr>
          <w:t>3</w:t>
        </w:r>
        <w:r>
          <w:rPr>
            <w:noProof/>
          </w:rPr>
          <w:fldChar w:fldCharType="end"/>
        </w:r>
      </w:p>
    </w:sdtContent>
  </w:sdt>
  <w:p w14:paraId="17521058" w14:textId="77777777" w:rsidR="00AB6827" w:rsidRDefault="00AB6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B6D3" w14:textId="77777777" w:rsidR="00AB6827" w:rsidRDefault="00AB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13C3" w14:textId="77777777" w:rsidR="00AB6827" w:rsidRDefault="00AB6827" w:rsidP="00CA71DA">
      <w:pPr>
        <w:spacing w:after="0" w:line="240" w:lineRule="auto"/>
      </w:pPr>
      <w:r>
        <w:separator/>
      </w:r>
    </w:p>
  </w:footnote>
  <w:footnote w:type="continuationSeparator" w:id="0">
    <w:p w14:paraId="348F33AE" w14:textId="77777777" w:rsidR="00AB6827" w:rsidRDefault="00AB6827" w:rsidP="00CA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C5AC" w14:textId="77777777" w:rsidR="00AB6827" w:rsidRDefault="00AB6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8914" w14:textId="7C05B19F" w:rsidR="00AB6827" w:rsidRDefault="00AB6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84D6" w14:textId="77777777" w:rsidR="00AB6827" w:rsidRDefault="00AB6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7C3"/>
    <w:multiLevelType w:val="hybridMultilevel"/>
    <w:tmpl w:val="03682BF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6E6"/>
    <w:multiLevelType w:val="hybridMultilevel"/>
    <w:tmpl w:val="B9B6124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E68FD"/>
    <w:multiLevelType w:val="hybridMultilevel"/>
    <w:tmpl w:val="7E5E5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234D7"/>
    <w:multiLevelType w:val="hybridMultilevel"/>
    <w:tmpl w:val="C2420A4E"/>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9584D"/>
    <w:multiLevelType w:val="hybridMultilevel"/>
    <w:tmpl w:val="89B67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71676"/>
    <w:multiLevelType w:val="hybridMultilevel"/>
    <w:tmpl w:val="9230A864"/>
    <w:lvl w:ilvl="0" w:tplc="4B6A9DB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53630"/>
    <w:multiLevelType w:val="hybridMultilevel"/>
    <w:tmpl w:val="62721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541D7"/>
    <w:multiLevelType w:val="hybridMultilevel"/>
    <w:tmpl w:val="2B76B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F66D6"/>
    <w:multiLevelType w:val="hybridMultilevel"/>
    <w:tmpl w:val="57DE4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B6779"/>
    <w:multiLevelType w:val="hybridMultilevel"/>
    <w:tmpl w:val="60864DA4"/>
    <w:lvl w:ilvl="0" w:tplc="1540A6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CE2427"/>
    <w:multiLevelType w:val="hybridMultilevel"/>
    <w:tmpl w:val="38487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96AAB"/>
    <w:multiLevelType w:val="hybridMultilevel"/>
    <w:tmpl w:val="E0DE4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76F58"/>
    <w:multiLevelType w:val="hybridMultilevel"/>
    <w:tmpl w:val="106C8184"/>
    <w:lvl w:ilvl="0" w:tplc="9724D8A6">
      <w:numFmt w:val="bullet"/>
      <w:lvlText w:val=""/>
      <w:lvlJc w:val="left"/>
      <w:pPr>
        <w:ind w:left="720" w:hanging="360"/>
      </w:pPr>
      <w:rPr>
        <w:rFonts w:ascii="Wingdings" w:eastAsiaTheme="minorHAnsi" w:hAnsi="Wingdings" w:cstheme="maj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FDD694E"/>
    <w:multiLevelType w:val="hybridMultilevel"/>
    <w:tmpl w:val="F7922F4E"/>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32132"/>
    <w:multiLevelType w:val="hybridMultilevel"/>
    <w:tmpl w:val="88D6F4E8"/>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901A7"/>
    <w:multiLevelType w:val="hybridMultilevel"/>
    <w:tmpl w:val="1D7C7322"/>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64B58"/>
    <w:multiLevelType w:val="hybridMultilevel"/>
    <w:tmpl w:val="EF74F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B3FA1"/>
    <w:multiLevelType w:val="hybridMultilevel"/>
    <w:tmpl w:val="A8180AE6"/>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A6D90"/>
    <w:multiLevelType w:val="hybridMultilevel"/>
    <w:tmpl w:val="DB8880B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0"/>
  </w:num>
  <w:num w:numId="5">
    <w:abstractNumId w:val="10"/>
  </w:num>
  <w:num w:numId="6">
    <w:abstractNumId w:val="1"/>
  </w:num>
  <w:num w:numId="7">
    <w:abstractNumId w:val="2"/>
  </w:num>
  <w:num w:numId="8">
    <w:abstractNumId w:val="5"/>
  </w:num>
  <w:num w:numId="9">
    <w:abstractNumId w:val="11"/>
  </w:num>
  <w:num w:numId="10">
    <w:abstractNumId w:val="6"/>
  </w:num>
  <w:num w:numId="11">
    <w:abstractNumId w:val="16"/>
  </w:num>
  <w:num w:numId="12">
    <w:abstractNumId w:val="17"/>
  </w:num>
  <w:num w:numId="13">
    <w:abstractNumId w:val="3"/>
  </w:num>
  <w:num w:numId="14">
    <w:abstractNumId w:val="14"/>
  </w:num>
  <w:num w:numId="15">
    <w:abstractNumId w:val="13"/>
  </w:num>
  <w:num w:numId="16">
    <w:abstractNumId w:val="4"/>
  </w:num>
  <w:num w:numId="17">
    <w:abstractNumId w:val="15"/>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E4"/>
    <w:rsid w:val="00000F55"/>
    <w:rsid w:val="00002130"/>
    <w:rsid w:val="00003484"/>
    <w:rsid w:val="0000488A"/>
    <w:rsid w:val="00004BBA"/>
    <w:rsid w:val="000059AF"/>
    <w:rsid w:val="00007037"/>
    <w:rsid w:val="0001354D"/>
    <w:rsid w:val="00015046"/>
    <w:rsid w:val="00017C09"/>
    <w:rsid w:val="00017DEB"/>
    <w:rsid w:val="000228D1"/>
    <w:rsid w:val="00030C3B"/>
    <w:rsid w:val="00033686"/>
    <w:rsid w:val="00035B92"/>
    <w:rsid w:val="0003690E"/>
    <w:rsid w:val="00040907"/>
    <w:rsid w:val="000433C8"/>
    <w:rsid w:val="000504C0"/>
    <w:rsid w:val="000505F7"/>
    <w:rsid w:val="00054EA8"/>
    <w:rsid w:val="000621A2"/>
    <w:rsid w:val="00062F51"/>
    <w:rsid w:val="00065B41"/>
    <w:rsid w:val="00066B81"/>
    <w:rsid w:val="000742C9"/>
    <w:rsid w:val="000877FF"/>
    <w:rsid w:val="00087F2C"/>
    <w:rsid w:val="00090344"/>
    <w:rsid w:val="000911D0"/>
    <w:rsid w:val="000919F1"/>
    <w:rsid w:val="00091FB6"/>
    <w:rsid w:val="0009382E"/>
    <w:rsid w:val="0009456D"/>
    <w:rsid w:val="0009553C"/>
    <w:rsid w:val="000956CC"/>
    <w:rsid w:val="00095E33"/>
    <w:rsid w:val="000966EC"/>
    <w:rsid w:val="000A06B8"/>
    <w:rsid w:val="000A22E1"/>
    <w:rsid w:val="000A3C59"/>
    <w:rsid w:val="000A3FC5"/>
    <w:rsid w:val="000A61E3"/>
    <w:rsid w:val="000B13BF"/>
    <w:rsid w:val="000B1B9B"/>
    <w:rsid w:val="000B2FB5"/>
    <w:rsid w:val="000B6554"/>
    <w:rsid w:val="000C2AA9"/>
    <w:rsid w:val="000C3B32"/>
    <w:rsid w:val="000C4AD0"/>
    <w:rsid w:val="000C7C58"/>
    <w:rsid w:val="000D095D"/>
    <w:rsid w:val="000D3595"/>
    <w:rsid w:val="000D4F65"/>
    <w:rsid w:val="000D57FB"/>
    <w:rsid w:val="000D72D1"/>
    <w:rsid w:val="000E06B7"/>
    <w:rsid w:val="000F2289"/>
    <w:rsid w:val="000F2341"/>
    <w:rsid w:val="000F40C7"/>
    <w:rsid w:val="00104104"/>
    <w:rsid w:val="00106862"/>
    <w:rsid w:val="00110E92"/>
    <w:rsid w:val="00111D87"/>
    <w:rsid w:val="0011272A"/>
    <w:rsid w:val="0011287B"/>
    <w:rsid w:val="0011340E"/>
    <w:rsid w:val="001203A3"/>
    <w:rsid w:val="00123508"/>
    <w:rsid w:val="00123693"/>
    <w:rsid w:val="00124C4D"/>
    <w:rsid w:val="00125CC6"/>
    <w:rsid w:val="00130D0D"/>
    <w:rsid w:val="00135E9D"/>
    <w:rsid w:val="00140059"/>
    <w:rsid w:val="001446C8"/>
    <w:rsid w:val="00146243"/>
    <w:rsid w:val="0014674D"/>
    <w:rsid w:val="00147FC9"/>
    <w:rsid w:val="001500DE"/>
    <w:rsid w:val="00151CCA"/>
    <w:rsid w:val="0015229F"/>
    <w:rsid w:val="00153BD5"/>
    <w:rsid w:val="001609C1"/>
    <w:rsid w:val="00160F9B"/>
    <w:rsid w:val="00161F1F"/>
    <w:rsid w:val="001664DC"/>
    <w:rsid w:val="00170FB7"/>
    <w:rsid w:val="00171793"/>
    <w:rsid w:val="00172CAE"/>
    <w:rsid w:val="001744CD"/>
    <w:rsid w:val="001840C6"/>
    <w:rsid w:val="001841C9"/>
    <w:rsid w:val="00190046"/>
    <w:rsid w:val="001923E8"/>
    <w:rsid w:val="00192799"/>
    <w:rsid w:val="0019409A"/>
    <w:rsid w:val="00197005"/>
    <w:rsid w:val="001A00E4"/>
    <w:rsid w:val="001A2920"/>
    <w:rsid w:val="001A33BA"/>
    <w:rsid w:val="001A5AFA"/>
    <w:rsid w:val="001A6DF6"/>
    <w:rsid w:val="001B2BC9"/>
    <w:rsid w:val="001B4186"/>
    <w:rsid w:val="001B5907"/>
    <w:rsid w:val="001C063C"/>
    <w:rsid w:val="001C1834"/>
    <w:rsid w:val="001C3FF9"/>
    <w:rsid w:val="001C4F51"/>
    <w:rsid w:val="001C5DA8"/>
    <w:rsid w:val="001C7847"/>
    <w:rsid w:val="001C7AE4"/>
    <w:rsid w:val="001C7C1D"/>
    <w:rsid w:val="001D22E3"/>
    <w:rsid w:val="001E7973"/>
    <w:rsid w:val="001F0AEC"/>
    <w:rsid w:val="001F25E4"/>
    <w:rsid w:val="001F2615"/>
    <w:rsid w:val="001F366E"/>
    <w:rsid w:val="001F4DEE"/>
    <w:rsid w:val="001F6B2A"/>
    <w:rsid w:val="00200483"/>
    <w:rsid w:val="002009C3"/>
    <w:rsid w:val="0020462D"/>
    <w:rsid w:val="0020514D"/>
    <w:rsid w:val="002053BE"/>
    <w:rsid w:val="00211376"/>
    <w:rsid w:val="00211923"/>
    <w:rsid w:val="00213C5B"/>
    <w:rsid w:val="002158DB"/>
    <w:rsid w:val="002225ED"/>
    <w:rsid w:val="00222D0E"/>
    <w:rsid w:val="002245AA"/>
    <w:rsid w:val="00225249"/>
    <w:rsid w:val="00227815"/>
    <w:rsid w:val="002307FB"/>
    <w:rsid w:val="002335DB"/>
    <w:rsid w:val="002340D8"/>
    <w:rsid w:val="00235BC9"/>
    <w:rsid w:val="002369F5"/>
    <w:rsid w:val="002377A6"/>
    <w:rsid w:val="002378F6"/>
    <w:rsid w:val="00241A86"/>
    <w:rsid w:val="00242B61"/>
    <w:rsid w:val="002479B1"/>
    <w:rsid w:val="00254801"/>
    <w:rsid w:val="00262484"/>
    <w:rsid w:val="00262BFC"/>
    <w:rsid w:val="00262E0E"/>
    <w:rsid w:val="00264C26"/>
    <w:rsid w:val="002650D9"/>
    <w:rsid w:val="002652C2"/>
    <w:rsid w:val="0026713F"/>
    <w:rsid w:val="00272349"/>
    <w:rsid w:val="00272CED"/>
    <w:rsid w:val="00277F75"/>
    <w:rsid w:val="0028598E"/>
    <w:rsid w:val="00290366"/>
    <w:rsid w:val="0029053F"/>
    <w:rsid w:val="00290928"/>
    <w:rsid w:val="00290AC8"/>
    <w:rsid w:val="00291E54"/>
    <w:rsid w:val="002925AE"/>
    <w:rsid w:val="00293365"/>
    <w:rsid w:val="00293F30"/>
    <w:rsid w:val="00294EB3"/>
    <w:rsid w:val="00297077"/>
    <w:rsid w:val="002976D8"/>
    <w:rsid w:val="002A0A1D"/>
    <w:rsid w:val="002A5C87"/>
    <w:rsid w:val="002B1718"/>
    <w:rsid w:val="002B2379"/>
    <w:rsid w:val="002B3434"/>
    <w:rsid w:val="002B5C9C"/>
    <w:rsid w:val="002C1F4C"/>
    <w:rsid w:val="002C699A"/>
    <w:rsid w:val="002D2AF9"/>
    <w:rsid w:val="002D32D0"/>
    <w:rsid w:val="002D608B"/>
    <w:rsid w:val="002D779E"/>
    <w:rsid w:val="002E160B"/>
    <w:rsid w:val="002E1F9C"/>
    <w:rsid w:val="002E3FBB"/>
    <w:rsid w:val="002E6AF1"/>
    <w:rsid w:val="002F25FB"/>
    <w:rsid w:val="002F4BAC"/>
    <w:rsid w:val="002F6049"/>
    <w:rsid w:val="00301BB2"/>
    <w:rsid w:val="00302F91"/>
    <w:rsid w:val="003036C6"/>
    <w:rsid w:val="003039F7"/>
    <w:rsid w:val="00304CD4"/>
    <w:rsid w:val="00307BF7"/>
    <w:rsid w:val="00310FEC"/>
    <w:rsid w:val="0031144D"/>
    <w:rsid w:val="0031291A"/>
    <w:rsid w:val="00314B39"/>
    <w:rsid w:val="0031760A"/>
    <w:rsid w:val="00320861"/>
    <w:rsid w:val="00323424"/>
    <w:rsid w:val="00325562"/>
    <w:rsid w:val="0033144E"/>
    <w:rsid w:val="003342BE"/>
    <w:rsid w:val="00335E32"/>
    <w:rsid w:val="00343676"/>
    <w:rsid w:val="003439FF"/>
    <w:rsid w:val="00347E11"/>
    <w:rsid w:val="003524ED"/>
    <w:rsid w:val="003528C2"/>
    <w:rsid w:val="00360397"/>
    <w:rsid w:val="0036262C"/>
    <w:rsid w:val="0036607E"/>
    <w:rsid w:val="00367011"/>
    <w:rsid w:val="0037351F"/>
    <w:rsid w:val="00374914"/>
    <w:rsid w:val="00377C8D"/>
    <w:rsid w:val="00380E63"/>
    <w:rsid w:val="00382143"/>
    <w:rsid w:val="00384DA0"/>
    <w:rsid w:val="003862F2"/>
    <w:rsid w:val="00386DC2"/>
    <w:rsid w:val="003910E0"/>
    <w:rsid w:val="00393DCC"/>
    <w:rsid w:val="003947E6"/>
    <w:rsid w:val="003A1504"/>
    <w:rsid w:val="003A464D"/>
    <w:rsid w:val="003A59BC"/>
    <w:rsid w:val="003A62E8"/>
    <w:rsid w:val="003A7C1C"/>
    <w:rsid w:val="003B1D95"/>
    <w:rsid w:val="003B32F8"/>
    <w:rsid w:val="003B3A46"/>
    <w:rsid w:val="003C2989"/>
    <w:rsid w:val="003C7040"/>
    <w:rsid w:val="003D5066"/>
    <w:rsid w:val="003D5882"/>
    <w:rsid w:val="003D5F14"/>
    <w:rsid w:val="003D6265"/>
    <w:rsid w:val="003D74FF"/>
    <w:rsid w:val="003E2CA9"/>
    <w:rsid w:val="003E6390"/>
    <w:rsid w:val="003F2568"/>
    <w:rsid w:val="004011BC"/>
    <w:rsid w:val="004036EE"/>
    <w:rsid w:val="004039E6"/>
    <w:rsid w:val="00410088"/>
    <w:rsid w:val="00410912"/>
    <w:rsid w:val="00410FE8"/>
    <w:rsid w:val="004113B2"/>
    <w:rsid w:val="00424F20"/>
    <w:rsid w:val="004306CC"/>
    <w:rsid w:val="00434AED"/>
    <w:rsid w:val="00436CFE"/>
    <w:rsid w:val="004406E3"/>
    <w:rsid w:val="0044342A"/>
    <w:rsid w:val="004560E2"/>
    <w:rsid w:val="00461C1B"/>
    <w:rsid w:val="004660F3"/>
    <w:rsid w:val="00466DFF"/>
    <w:rsid w:val="0047322F"/>
    <w:rsid w:val="0047539D"/>
    <w:rsid w:val="00477FCD"/>
    <w:rsid w:val="00482981"/>
    <w:rsid w:val="00490712"/>
    <w:rsid w:val="00491194"/>
    <w:rsid w:val="004914A7"/>
    <w:rsid w:val="004953F2"/>
    <w:rsid w:val="004A319F"/>
    <w:rsid w:val="004A40AD"/>
    <w:rsid w:val="004A7AE8"/>
    <w:rsid w:val="004B655C"/>
    <w:rsid w:val="004B71C8"/>
    <w:rsid w:val="004C2743"/>
    <w:rsid w:val="004C673C"/>
    <w:rsid w:val="004D021C"/>
    <w:rsid w:val="004D3638"/>
    <w:rsid w:val="004D37B3"/>
    <w:rsid w:val="004D3934"/>
    <w:rsid w:val="004D68A9"/>
    <w:rsid w:val="004D6B4F"/>
    <w:rsid w:val="004D7444"/>
    <w:rsid w:val="004E0664"/>
    <w:rsid w:val="004E2EA1"/>
    <w:rsid w:val="004E44C3"/>
    <w:rsid w:val="004E7181"/>
    <w:rsid w:val="004F1B69"/>
    <w:rsid w:val="004F1E0B"/>
    <w:rsid w:val="004F3977"/>
    <w:rsid w:val="004F783C"/>
    <w:rsid w:val="0050216F"/>
    <w:rsid w:val="005027A5"/>
    <w:rsid w:val="005031BA"/>
    <w:rsid w:val="005031D3"/>
    <w:rsid w:val="00503272"/>
    <w:rsid w:val="00504B7C"/>
    <w:rsid w:val="00506B68"/>
    <w:rsid w:val="00511052"/>
    <w:rsid w:val="005112C1"/>
    <w:rsid w:val="00511782"/>
    <w:rsid w:val="00511CFE"/>
    <w:rsid w:val="00512D23"/>
    <w:rsid w:val="00517F04"/>
    <w:rsid w:val="00524CF7"/>
    <w:rsid w:val="0052565F"/>
    <w:rsid w:val="00525817"/>
    <w:rsid w:val="00525EEA"/>
    <w:rsid w:val="00526588"/>
    <w:rsid w:val="00527FE6"/>
    <w:rsid w:val="005312B0"/>
    <w:rsid w:val="005318FD"/>
    <w:rsid w:val="00531B92"/>
    <w:rsid w:val="00533266"/>
    <w:rsid w:val="00534356"/>
    <w:rsid w:val="005357EC"/>
    <w:rsid w:val="00536115"/>
    <w:rsid w:val="00536CCF"/>
    <w:rsid w:val="00542F26"/>
    <w:rsid w:val="005462CD"/>
    <w:rsid w:val="00546D42"/>
    <w:rsid w:val="005472CD"/>
    <w:rsid w:val="005548C3"/>
    <w:rsid w:val="00554E58"/>
    <w:rsid w:val="00556FEC"/>
    <w:rsid w:val="00562535"/>
    <w:rsid w:val="00562B41"/>
    <w:rsid w:val="005660EF"/>
    <w:rsid w:val="00567EF3"/>
    <w:rsid w:val="00571831"/>
    <w:rsid w:val="005750AC"/>
    <w:rsid w:val="005751C0"/>
    <w:rsid w:val="00581F1C"/>
    <w:rsid w:val="0058296C"/>
    <w:rsid w:val="0058312D"/>
    <w:rsid w:val="00585D16"/>
    <w:rsid w:val="005925F6"/>
    <w:rsid w:val="0059763F"/>
    <w:rsid w:val="00597DC0"/>
    <w:rsid w:val="005A1FC4"/>
    <w:rsid w:val="005A2834"/>
    <w:rsid w:val="005A3ECB"/>
    <w:rsid w:val="005A5F3D"/>
    <w:rsid w:val="005B165D"/>
    <w:rsid w:val="005B349E"/>
    <w:rsid w:val="005B7A42"/>
    <w:rsid w:val="005C134A"/>
    <w:rsid w:val="005C1F42"/>
    <w:rsid w:val="005C2243"/>
    <w:rsid w:val="005C2682"/>
    <w:rsid w:val="005C43D7"/>
    <w:rsid w:val="005C4BA9"/>
    <w:rsid w:val="005D296A"/>
    <w:rsid w:val="005D63BB"/>
    <w:rsid w:val="005E15F1"/>
    <w:rsid w:val="005E778B"/>
    <w:rsid w:val="005F3A09"/>
    <w:rsid w:val="005F492D"/>
    <w:rsid w:val="005F6FBB"/>
    <w:rsid w:val="005F7D03"/>
    <w:rsid w:val="00601708"/>
    <w:rsid w:val="006018C7"/>
    <w:rsid w:val="006027E9"/>
    <w:rsid w:val="00603169"/>
    <w:rsid w:val="00604D2C"/>
    <w:rsid w:val="006067BE"/>
    <w:rsid w:val="00610FF5"/>
    <w:rsid w:val="00611E12"/>
    <w:rsid w:val="006121E1"/>
    <w:rsid w:val="00614647"/>
    <w:rsid w:val="00614CC2"/>
    <w:rsid w:val="00616FB2"/>
    <w:rsid w:val="00622C3D"/>
    <w:rsid w:val="00622DE3"/>
    <w:rsid w:val="00623AA1"/>
    <w:rsid w:val="0062589C"/>
    <w:rsid w:val="00633102"/>
    <w:rsid w:val="006427A1"/>
    <w:rsid w:val="00642E90"/>
    <w:rsid w:val="006458AB"/>
    <w:rsid w:val="00646B77"/>
    <w:rsid w:val="0064788C"/>
    <w:rsid w:val="006503B8"/>
    <w:rsid w:val="00651014"/>
    <w:rsid w:val="00651B4D"/>
    <w:rsid w:val="00654E8C"/>
    <w:rsid w:val="00660B6C"/>
    <w:rsid w:val="0066425E"/>
    <w:rsid w:val="006651F5"/>
    <w:rsid w:val="00666689"/>
    <w:rsid w:val="00674F88"/>
    <w:rsid w:val="00682CB0"/>
    <w:rsid w:val="00685CBD"/>
    <w:rsid w:val="00692913"/>
    <w:rsid w:val="006942A5"/>
    <w:rsid w:val="006962E5"/>
    <w:rsid w:val="006966F0"/>
    <w:rsid w:val="006A1C8F"/>
    <w:rsid w:val="006A1DEB"/>
    <w:rsid w:val="006A31CB"/>
    <w:rsid w:val="006A74AE"/>
    <w:rsid w:val="006B0CBF"/>
    <w:rsid w:val="006B1EF1"/>
    <w:rsid w:val="006B37E5"/>
    <w:rsid w:val="006B3CCE"/>
    <w:rsid w:val="006B64F4"/>
    <w:rsid w:val="006C0003"/>
    <w:rsid w:val="006C062E"/>
    <w:rsid w:val="006C2120"/>
    <w:rsid w:val="006C22CE"/>
    <w:rsid w:val="006C7048"/>
    <w:rsid w:val="006C717D"/>
    <w:rsid w:val="006C7338"/>
    <w:rsid w:val="006D51E1"/>
    <w:rsid w:val="006D59E1"/>
    <w:rsid w:val="006D6175"/>
    <w:rsid w:val="006E137B"/>
    <w:rsid w:val="006E246B"/>
    <w:rsid w:val="006E44A6"/>
    <w:rsid w:val="006F1F9A"/>
    <w:rsid w:val="006F46E0"/>
    <w:rsid w:val="006F4E6A"/>
    <w:rsid w:val="006F5692"/>
    <w:rsid w:val="006F7DCD"/>
    <w:rsid w:val="00701798"/>
    <w:rsid w:val="00704A17"/>
    <w:rsid w:val="007057FE"/>
    <w:rsid w:val="00706255"/>
    <w:rsid w:val="00707764"/>
    <w:rsid w:val="00711632"/>
    <w:rsid w:val="00711D86"/>
    <w:rsid w:val="00712C65"/>
    <w:rsid w:val="00713189"/>
    <w:rsid w:val="0072057E"/>
    <w:rsid w:val="00721596"/>
    <w:rsid w:val="00724B91"/>
    <w:rsid w:val="00725D69"/>
    <w:rsid w:val="00727A84"/>
    <w:rsid w:val="0073113A"/>
    <w:rsid w:val="00732AD9"/>
    <w:rsid w:val="007330C0"/>
    <w:rsid w:val="00736BD1"/>
    <w:rsid w:val="007452B8"/>
    <w:rsid w:val="00745C1F"/>
    <w:rsid w:val="007470C7"/>
    <w:rsid w:val="00753A78"/>
    <w:rsid w:val="00755C17"/>
    <w:rsid w:val="00757346"/>
    <w:rsid w:val="0075765C"/>
    <w:rsid w:val="007610FB"/>
    <w:rsid w:val="0076125F"/>
    <w:rsid w:val="007644AD"/>
    <w:rsid w:val="0076644A"/>
    <w:rsid w:val="00766AE4"/>
    <w:rsid w:val="00770FC1"/>
    <w:rsid w:val="007717EF"/>
    <w:rsid w:val="00773E5B"/>
    <w:rsid w:val="00782AA9"/>
    <w:rsid w:val="00787AB7"/>
    <w:rsid w:val="00791ED9"/>
    <w:rsid w:val="00792257"/>
    <w:rsid w:val="007934F8"/>
    <w:rsid w:val="00797078"/>
    <w:rsid w:val="007977D7"/>
    <w:rsid w:val="007A00DA"/>
    <w:rsid w:val="007A0953"/>
    <w:rsid w:val="007A2642"/>
    <w:rsid w:val="007A49DF"/>
    <w:rsid w:val="007B12D2"/>
    <w:rsid w:val="007B2A22"/>
    <w:rsid w:val="007B414C"/>
    <w:rsid w:val="007C4F88"/>
    <w:rsid w:val="007C63F4"/>
    <w:rsid w:val="007D3D11"/>
    <w:rsid w:val="007D5BA6"/>
    <w:rsid w:val="007E0EF8"/>
    <w:rsid w:val="007E100D"/>
    <w:rsid w:val="007E1061"/>
    <w:rsid w:val="007E4AB8"/>
    <w:rsid w:val="007E4DC0"/>
    <w:rsid w:val="007F0EE3"/>
    <w:rsid w:val="007F1D0B"/>
    <w:rsid w:val="007F7602"/>
    <w:rsid w:val="00800D47"/>
    <w:rsid w:val="00807472"/>
    <w:rsid w:val="008158E5"/>
    <w:rsid w:val="00820059"/>
    <w:rsid w:val="00820438"/>
    <w:rsid w:val="0082119C"/>
    <w:rsid w:val="0082637E"/>
    <w:rsid w:val="00831BF1"/>
    <w:rsid w:val="00834AD1"/>
    <w:rsid w:val="00841948"/>
    <w:rsid w:val="00841B81"/>
    <w:rsid w:val="00842A2D"/>
    <w:rsid w:val="0085006E"/>
    <w:rsid w:val="00853E47"/>
    <w:rsid w:val="008542E9"/>
    <w:rsid w:val="008576A1"/>
    <w:rsid w:val="00860EE0"/>
    <w:rsid w:val="00861213"/>
    <w:rsid w:val="00861CF0"/>
    <w:rsid w:val="0086264B"/>
    <w:rsid w:val="00863115"/>
    <w:rsid w:val="00864828"/>
    <w:rsid w:val="00865C46"/>
    <w:rsid w:val="008671BE"/>
    <w:rsid w:val="00874963"/>
    <w:rsid w:val="00876C3F"/>
    <w:rsid w:val="00876E96"/>
    <w:rsid w:val="00880532"/>
    <w:rsid w:val="00884038"/>
    <w:rsid w:val="0088616A"/>
    <w:rsid w:val="00887742"/>
    <w:rsid w:val="008929BA"/>
    <w:rsid w:val="00893FCC"/>
    <w:rsid w:val="0089487F"/>
    <w:rsid w:val="00896953"/>
    <w:rsid w:val="008A3D50"/>
    <w:rsid w:val="008A5564"/>
    <w:rsid w:val="008A58CE"/>
    <w:rsid w:val="008B2DE8"/>
    <w:rsid w:val="008B462E"/>
    <w:rsid w:val="008B5DFB"/>
    <w:rsid w:val="008B6FA1"/>
    <w:rsid w:val="008C1E4D"/>
    <w:rsid w:val="008C37D7"/>
    <w:rsid w:val="008C4AE8"/>
    <w:rsid w:val="008C6387"/>
    <w:rsid w:val="008D134C"/>
    <w:rsid w:val="008D3A3E"/>
    <w:rsid w:val="008D3EFC"/>
    <w:rsid w:val="008D40EB"/>
    <w:rsid w:val="008D57E6"/>
    <w:rsid w:val="008D5EF1"/>
    <w:rsid w:val="008E6FE1"/>
    <w:rsid w:val="008E6FE5"/>
    <w:rsid w:val="008F24ED"/>
    <w:rsid w:val="008F4C98"/>
    <w:rsid w:val="008F7B67"/>
    <w:rsid w:val="00900ED0"/>
    <w:rsid w:val="00904C11"/>
    <w:rsid w:val="009102BA"/>
    <w:rsid w:val="00910F61"/>
    <w:rsid w:val="00913C74"/>
    <w:rsid w:val="00916EA6"/>
    <w:rsid w:val="00923EB6"/>
    <w:rsid w:val="0092534A"/>
    <w:rsid w:val="00931A35"/>
    <w:rsid w:val="0093435F"/>
    <w:rsid w:val="00934918"/>
    <w:rsid w:val="00935365"/>
    <w:rsid w:val="00944CE1"/>
    <w:rsid w:val="009451CA"/>
    <w:rsid w:val="009543BE"/>
    <w:rsid w:val="00955579"/>
    <w:rsid w:val="00955CBC"/>
    <w:rsid w:val="0097331A"/>
    <w:rsid w:val="009737F0"/>
    <w:rsid w:val="00974614"/>
    <w:rsid w:val="0097462F"/>
    <w:rsid w:val="00982646"/>
    <w:rsid w:val="00982F2A"/>
    <w:rsid w:val="00982F58"/>
    <w:rsid w:val="00983AA1"/>
    <w:rsid w:val="0098734D"/>
    <w:rsid w:val="009919D5"/>
    <w:rsid w:val="0099211E"/>
    <w:rsid w:val="009970B8"/>
    <w:rsid w:val="009973CC"/>
    <w:rsid w:val="009A1BB9"/>
    <w:rsid w:val="009A5D13"/>
    <w:rsid w:val="009A6503"/>
    <w:rsid w:val="009A6E2B"/>
    <w:rsid w:val="009B19D0"/>
    <w:rsid w:val="009B2938"/>
    <w:rsid w:val="009B36F1"/>
    <w:rsid w:val="009B5795"/>
    <w:rsid w:val="009B738F"/>
    <w:rsid w:val="009B73BA"/>
    <w:rsid w:val="009B7A2B"/>
    <w:rsid w:val="009C2AF4"/>
    <w:rsid w:val="009D0971"/>
    <w:rsid w:val="009D0A6F"/>
    <w:rsid w:val="009D1FE6"/>
    <w:rsid w:val="009D208D"/>
    <w:rsid w:val="009D289A"/>
    <w:rsid w:val="009D45C1"/>
    <w:rsid w:val="009E0E6B"/>
    <w:rsid w:val="009E171F"/>
    <w:rsid w:val="009E45A9"/>
    <w:rsid w:val="009E48CE"/>
    <w:rsid w:val="009E4A64"/>
    <w:rsid w:val="009E4D69"/>
    <w:rsid w:val="009F15C3"/>
    <w:rsid w:val="009F548A"/>
    <w:rsid w:val="00A02D8F"/>
    <w:rsid w:val="00A02FEE"/>
    <w:rsid w:val="00A03E79"/>
    <w:rsid w:val="00A04110"/>
    <w:rsid w:val="00A07CE2"/>
    <w:rsid w:val="00A1574B"/>
    <w:rsid w:val="00A2017F"/>
    <w:rsid w:val="00A21250"/>
    <w:rsid w:val="00A244E0"/>
    <w:rsid w:val="00A24B48"/>
    <w:rsid w:val="00A27801"/>
    <w:rsid w:val="00A30FE0"/>
    <w:rsid w:val="00A34585"/>
    <w:rsid w:val="00A354BE"/>
    <w:rsid w:val="00A36B23"/>
    <w:rsid w:val="00A408DD"/>
    <w:rsid w:val="00A42549"/>
    <w:rsid w:val="00A42958"/>
    <w:rsid w:val="00A42B71"/>
    <w:rsid w:val="00A43C2B"/>
    <w:rsid w:val="00A45626"/>
    <w:rsid w:val="00A45BC7"/>
    <w:rsid w:val="00A500BC"/>
    <w:rsid w:val="00A512D9"/>
    <w:rsid w:val="00A5366C"/>
    <w:rsid w:val="00A539D9"/>
    <w:rsid w:val="00A551A0"/>
    <w:rsid w:val="00A60519"/>
    <w:rsid w:val="00A60A41"/>
    <w:rsid w:val="00A701D2"/>
    <w:rsid w:val="00A729C1"/>
    <w:rsid w:val="00A742C7"/>
    <w:rsid w:val="00A77836"/>
    <w:rsid w:val="00A80C66"/>
    <w:rsid w:val="00A81CD2"/>
    <w:rsid w:val="00A82EA9"/>
    <w:rsid w:val="00A86F93"/>
    <w:rsid w:val="00A8728C"/>
    <w:rsid w:val="00A8787E"/>
    <w:rsid w:val="00A92C2E"/>
    <w:rsid w:val="00A92CCE"/>
    <w:rsid w:val="00A97A31"/>
    <w:rsid w:val="00AA0BF1"/>
    <w:rsid w:val="00AA2513"/>
    <w:rsid w:val="00AA3552"/>
    <w:rsid w:val="00AA40E5"/>
    <w:rsid w:val="00AB1E74"/>
    <w:rsid w:val="00AB2927"/>
    <w:rsid w:val="00AB4AE2"/>
    <w:rsid w:val="00AB576E"/>
    <w:rsid w:val="00AB6827"/>
    <w:rsid w:val="00AC045E"/>
    <w:rsid w:val="00AC2472"/>
    <w:rsid w:val="00AC274C"/>
    <w:rsid w:val="00AC3946"/>
    <w:rsid w:val="00AC7325"/>
    <w:rsid w:val="00AD085A"/>
    <w:rsid w:val="00AD2961"/>
    <w:rsid w:val="00AD2B40"/>
    <w:rsid w:val="00AD2F1D"/>
    <w:rsid w:val="00AD355A"/>
    <w:rsid w:val="00AE2E20"/>
    <w:rsid w:val="00AE42A2"/>
    <w:rsid w:val="00AF3FDC"/>
    <w:rsid w:val="00AF505C"/>
    <w:rsid w:val="00AF58BF"/>
    <w:rsid w:val="00AF7674"/>
    <w:rsid w:val="00B024E8"/>
    <w:rsid w:val="00B024EE"/>
    <w:rsid w:val="00B05260"/>
    <w:rsid w:val="00B06C59"/>
    <w:rsid w:val="00B11936"/>
    <w:rsid w:val="00B15FA8"/>
    <w:rsid w:val="00B23301"/>
    <w:rsid w:val="00B30149"/>
    <w:rsid w:val="00B301F5"/>
    <w:rsid w:val="00B33529"/>
    <w:rsid w:val="00B365DA"/>
    <w:rsid w:val="00B3725D"/>
    <w:rsid w:val="00B37379"/>
    <w:rsid w:val="00B42EDE"/>
    <w:rsid w:val="00B43A8A"/>
    <w:rsid w:val="00B43DBA"/>
    <w:rsid w:val="00B449F7"/>
    <w:rsid w:val="00B52A86"/>
    <w:rsid w:val="00B53301"/>
    <w:rsid w:val="00B53EEF"/>
    <w:rsid w:val="00B55BE0"/>
    <w:rsid w:val="00B56E10"/>
    <w:rsid w:val="00B57622"/>
    <w:rsid w:val="00B57E90"/>
    <w:rsid w:val="00B6098E"/>
    <w:rsid w:val="00B6375F"/>
    <w:rsid w:val="00B63BF5"/>
    <w:rsid w:val="00B63ECD"/>
    <w:rsid w:val="00B64D64"/>
    <w:rsid w:val="00B66378"/>
    <w:rsid w:val="00B6762A"/>
    <w:rsid w:val="00B76D66"/>
    <w:rsid w:val="00B81D11"/>
    <w:rsid w:val="00B82847"/>
    <w:rsid w:val="00B85229"/>
    <w:rsid w:val="00B86A20"/>
    <w:rsid w:val="00B86BE3"/>
    <w:rsid w:val="00B9074B"/>
    <w:rsid w:val="00B9142A"/>
    <w:rsid w:val="00B91D61"/>
    <w:rsid w:val="00B951D4"/>
    <w:rsid w:val="00B95E68"/>
    <w:rsid w:val="00B9675E"/>
    <w:rsid w:val="00B9733D"/>
    <w:rsid w:val="00BA0694"/>
    <w:rsid w:val="00BA4DFB"/>
    <w:rsid w:val="00BA5EEA"/>
    <w:rsid w:val="00BA777B"/>
    <w:rsid w:val="00BA7F23"/>
    <w:rsid w:val="00BB0F93"/>
    <w:rsid w:val="00BB201B"/>
    <w:rsid w:val="00BB3456"/>
    <w:rsid w:val="00BB6217"/>
    <w:rsid w:val="00BC023E"/>
    <w:rsid w:val="00BD48F7"/>
    <w:rsid w:val="00BD572E"/>
    <w:rsid w:val="00BD5A21"/>
    <w:rsid w:val="00BE074F"/>
    <w:rsid w:val="00BE1972"/>
    <w:rsid w:val="00BE5D5D"/>
    <w:rsid w:val="00BE6213"/>
    <w:rsid w:val="00BF1E78"/>
    <w:rsid w:val="00BF34EC"/>
    <w:rsid w:val="00BF350C"/>
    <w:rsid w:val="00BF36C7"/>
    <w:rsid w:val="00BF4366"/>
    <w:rsid w:val="00C0339B"/>
    <w:rsid w:val="00C04F4F"/>
    <w:rsid w:val="00C05851"/>
    <w:rsid w:val="00C063AC"/>
    <w:rsid w:val="00C118EC"/>
    <w:rsid w:val="00C16AF4"/>
    <w:rsid w:val="00C245A2"/>
    <w:rsid w:val="00C25E9A"/>
    <w:rsid w:val="00C30F56"/>
    <w:rsid w:val="00C34729"/>
    <w:rsid w:val="00C370CA"/>
    <w:rsid w:val="00C431A5"/>
    <w:rsid w:val="00C45F37"/>
    <w:rsid w:val="00C532A3"/>
    <w:rsid w:val="00C5482C"/>
    <w:rsid w:val="00C54EF4"/>
    <w:rsid w:val="00C56CD5"/>
    <w:rsid w:val="00C56FDA"/>
    <w:rsid w:val="00C6115E"/>
    <w:rsid w:val="00C61646"/>
    <w:rsid w:val="00C62699"/>
    <w:rsid w:val="00C628C3"/>
    <w:rsid w:val="00C6291B"/>
    <w:rsid w:val="00C63390"/>
    <w:rsid w:val="00C64090"/>
    <w:rsid w:val="00C640F6"/>
    <w:rsid w:val="00C655CB"/>
    <w:rsid w:val="00C720A1"/>
    <w:rsid w:val="00C74B08"/>
    <w:rsid w:val="00C84848"/>
    <w:rsid w:val="00C8538E"/>
    <w:rsid w:val="00C857A2"/>
    <w:rsid w:val="00C86A5E"/>
    <w:rsid w:val="00C90F94"/>
    <w:rsid w:val="00C91131"/>
    <w:rsid w:val="00C93FED"/>
    <w:rsid w:val="00C9464E"/>
    <w:rsid w:val="00C94A20"/>
    <w:rsid w:val="00C96068"/>
    <w:rsid w:val="00CA0FB2"/>
    <w:rsid w:val="00CA2B23"/>
    <w:rsid w:val="00CA30A7"/>
    <w:rsid w:val="00CA71DA"/>
    <w:rsid w:val="00CB0084"/>
    <w:rsid w:val="00CB2A56"/>
    <w:rsid w:val="00CB2B03"/>
    <w:rsid w:val="00CB2D00"/>
    <w:rsid w:val="00CB311F"/>
    <w:rsid w:val="00CB7A94"/>
    <w:rsid w:val="00CC12F4"/>
    <w:rsid w:val="00CC2902"/>
    <w:rsid w:val="00CC3B66"/>
    <w:rsid w:val="00CC3D1C"/>
    <w:rsid w:val="00CD19B9"/>
    <w:rsid w:val="00CD28CA"/>
    <w:rsid w:val="00CD2CAA"/>
    <w:rsid w:val="00CD6EB0"/>
    <w:rsid w:val="00CE00B8"/>
    <w:rsid w:val="00CE15A0"/>
    <w:rsid w:val="00CE2B22"/>
    <w:rsid w:val="00CE4A89"/>
    <w:rsid w:val="00CE4AAE"/>
    <w:rsid w:val="00CE6E02"/>
    <w:rsid w:val="00CE7E4B"/>
    <w:rsid w:val="00CF1E67"/>
    <w:rsid w:val="00CF32F1"/>
    <w:rsid w:val="00CF5FE1"/>
    <w:rsid w:val="00D001D7"/>
    <w:rsid w:val="00D01297"/>
    <w:rsid w:val="00D035A3"/>
    <w:rsid w:val="00D0568E"/>
    <w:rsid w:val="00D0754D"/>
    <w:rsid w:val="00D077E9"/>
    <w:rsid w:val="00D10814"/>
    <w:rsid w:val="00D10EFC"/>
    <w:rsid w:val="00D11275"/>
    <w:rsid w:val="00D1178D"/>
    <w:rsid w:val="00D12CB2"/>
    <w:rsid w:val="00D133FF"/>
    <w:rsid w:val="00D27417"/>
    <w:rsid w:val="00D303BD"/>
    <w:rsid w:val="00D306B7"/>
    <w:rsid w:val="00D3533A"/>
    <w:rsid w:val="00D379FD"/>
    <w:rsid w:val="00D4031E"/>
    <w:rsid w:val="00D416BA"/>
    <w:rsid w:val="00D42148"/>
    <w:rsid w:val="00D43106"/>
    <w:rsid w:val="00D44D49"/>
    <w:rsid w:val="00D45332"/>
    <w:rsid w:val="00D51C60"/>
    <w:rsid w:val="00D52653"/>
    <w:rsid w:val="00D533EA"/>
    <w:rsid w:val="00D54846"/>
    <w:rsid w:val="00D54F9C"/>
    <w:rsid w:val="00D57ED2"/>
    <w:rsid w:val="00D601A5"/>
    <w:rsid w:val="00D60364"/>
    <w:rsid w:val="00D60EC8"/>
    <w:rsid w:val="00D61A65"/>
    <w:rsid w:val="00D7005C"/>
    <w:rsid w:val="00D70812"/>
    <w:rsid w:val="00D72B59"/>
    <w:rsid w:val="00D7319C"/>
    <w:rsid w:val="00D76727"/>
    <w:rsid w:val="00D76AC4"/>
    <w:rsid w:val="00D76B14"/>
    <w:rsid w:val="00D8361A"/>
    <w:rsid w:val="00D86491"/>
    <w:rsid w:val="00D91ECD"/>
    <w:rsid w:val="00D92536"/>
    <w:rsid w:val="00D932D0"/>
    <w:rsid w:val="00D948F6"/>
    <w:rsid w:val="00D97373"/>
    <w:rsid w:val="00D97D97"/>
    <w:rsid w:val="00DA27B3"/>
    <w:rsid w:val="00DA47FE"/>
    <w:rsid w:val="00DA5F5B"/>
    <w:rsid w:val="00DB2804"/>
    <w:rsid w:val="00DB35C6"/>
    <w:rsid w:val="00DB55B1"/>
    <w:rsid w:val="00DC1878"/>
    <w:rsid w:val="00DC24E2"/>
    <w:rsid w:val="00DC51BE"/>
    <w:rsid w:val="00DC6238"/>
    <w:rsid w:val="00DC69D9"/>
    <w:rsid w:val="00DC75EF"/>
    <w:rsid w:val="00DD0577"/>
    <w:rsid w:val="00DD42F4"/>
    <w:rsid w:val="00DD5D53"/>
    <w:rsid w:val="00DD77AA"/>
    <w:rsid w:val="00DD7ABA"/>
    <w:rsid w:val="00DE0938"/>
    <w:rsid w:val="00DE3BC6"/>
    <w:rsid w:val="00DE40EA"/>
    <w:rsid w:val="00DF0B64"/>
    <w:rsid w:val="00DF4769"/>
    <w:rsid w:val="00DF5D19"/>
    <w:rsid w:val="00E0011F"/>
    <w:rsid w:val="00E111CC"/>
    <w:rsid w:val="00E12263"/>
    <w:rsid w:val="00E13B99"/>
    <w:rsid w:val="00E21B8F"/>
    <w:rsid w:val="00E23654"/>
    <w:rsid w:val="00E23F7A"/>
    <w:rsid w:val="00E25BA6"/>
    <w:rsid w:val="00E34767"/>
    <w:rsid w:val="00E34B59"/>
    <w:rsid w:val="00E36D2C"/>
    <w:rsid w:val="00E37BE1"/>
    <w:rsid w:val="00E4082C"/>
    <w:rsid w:val="00E45C7B"/>
    <w:rsid w:val="00E46551"/>
    <w:rsid w:val="00E5115F"/>
    <w:rsid w:val="00E52425"/>
    <w:rsid w:val="00E54542"/>
    <w:rsid w:val="00E5645A"/>
    <w:rsid w:val="00E569EB"/>
    <w:rsid w:val="00E578E1"/>
    <w:rsid w:val="00E66751"/>
    <w:rsid w:val="00E67B04"/>
    <w:rsid w:val="00E7403F"/>
    <w:rsid w:val="00E74072"/>
    <w:rsid w:val="00E80542"/>
    <w:rsid w:val="00E84A70"/>
    <w:rsid w:val="00E85805"/>
    <w:rsid w:val="00E85DA8"/>
    <w:rsid w:val="00E874DD"/>
    <w:rsid w:val="00E932FC"/>
    <w:rsid w:val="00E94EA4"/>
    <w:rsid w:val="00E95F27"/>
    <w:rsid w:val="00E964C8"/>
    <w:rsid w:val="00EA0078"/>
    <w:rsid w:val="00EA0DFC"/>
    <w:rsid w:val="00EA40A1"/>
    <w:rsid w:val="00EB23C1"/>
    <w:rsid w:val="00EB2CE9"/>
    <w:rsid w:val="00EB3289"/>
    <w:rsid w:val="00EB636A"/>
    <w:rsid w:val="00EC2E18"/>
    <w:rsid w:val="00EC3630"/>
    <w:rsid w:val="00EC5ABA"/>
    <w:rsid w:val="00ED2398"/>
    <w:rsid w:val="00ED39F5"/>
    <w:rsid w:val="00ED5036"/>
    <w:rsid w:val="00ED54A9"/>
    <w:rsid w:val="00ED584C"/>
    <w:rsid w:val="00EE3E12"/>
    <w:rsid w:val="00EF426A"/>
    <w:rsid w:val="00EF66A5"/>
    <w:rsid w:val="00F00EB8"/>
    <w:rsid w:val="00F02AF4"/>
    <w:rsid w:val="00F05DD5"/>
    <w:rsid w:val="00F069EE"/>
    <w:rsid w:val="00F07EB1"/>
    <w:rsid w:val="00F11141"/>
    <w:rsid w:val="00F153D3"/>
    <w:rsid w:val="00F15FB4"/>
    <w:rsid w:val="00F1712A"/>
    <w:rsid w:val="00F17E24"/>
    <w:rsid w:val="00F24350"/>
    <w:rsid w:val="00F25394"/>
    <w:rsid w:val="00F25B66"/>
    <w:rsid w:val="00F26303"/>
    <w:rsid w:val="00F27DB9"/>
    <w:rsid w:val="00F35CF9"/>
    <w:rsid w:val="00F41570"/>
    <w:rsid w:val="00F44EB8"/>
    <w:rsid w:val="00F46477"/>
    <w:rsid w:val="00F4675A"/>
    <w:rsid w:val="00F526B3"/>
    <w:rsid w:val="00F54103"/>
    <w:rsid w:val="00F623CC"/>
    <w:rsid w:val="00F6478D"/>
    <w:rsid w:val="00F668A1"/>
    <w:rsid w:val="00F6746F"/>
    <w:rsid w:val="00F70627"/>
    <w:rsid w:val="00F73D3F"/>
    <w:rsid w:val="00F76607"/>
    <w:rsid w:val="00F82560"/>
    <w:rsid w:val="00F84832"/>
    <w:rsid w:val="00F84C5F"/>
    <w:rsid w:val="00F84FD6"/>
    <w:rsid w:val="00F86271"/>
    <w:rsid w:val="00F94DB0"/>
    <w:rsid w:val="00FA0021"/>
    <w:rsid w:val="00FA31DB"/>
    <w:rsid w:val="00FA46B9"/>
    <w:rsid w:val="00FA4D22"/>
    <w:rsid w:val="00FA5C70"/>
    <w:rsid w:val="00FA7527"/>
    <w:rsid w:val="00FB65F3"/>
    <w:rsid w:val="00FB6C68"/>
    <w:rsid w:val="00FC36D6"/>
    <w:rsid w:val="00FC37E9"/>
    <w:rsid w:val="00FD2F85"/>
    <w:rsid w:val="00FD7A91"/>
    <w:rsid w:val="00FE1099"/>
    <w:rsid w:val="00FE2D43"/>
    <w:rsid w:val="00FE304E"/>
    <w:rsid w:val="00FE38FD"/>
    <w:rsid w:val="00FE517D"/>
    <w:rsid w:val="00FE57E2"/>
    <w:rsid w:val="00FE6C9C"/>
    <w:rsid w:val="00FE7EC8"/>
    <w:rsid w:val="00FF7885"/>
    <w:rsid w:val="00FF7C91"/>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031834"/>
  <w15:chartTrackingRefBased/>
  <w15:docId w15:val="{59C19DDF-C7D8-4032-90A2-A6F60777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1DA"/>
  </w:style>
  <w:style w:type="paragraph" w:styleId="Footer">
    <w:name w:val="footer"/>
    <w:basedOn w:val="Normal"/>
    <w:link w:val="FooterChar"/>
    <w:uiPriority w:val="99"/>
    <w:unhideWhenUsed/>
    <w:rsid w:val="00CA7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1DA"/>
  </w:style>
  <w:style w:type="character" w:styleId="CommentReference">
    <w:name w:val="annotation reference"/>
    <w:basedOn w:val="DefaultParagraphFont"/>
    <w:uiPriority w:val="99"/>
    <w:semiHidden/>
    <w:unhideWhenUsed/>
    <w:rsid w:val="00CD6EB0"/>
    <w:rPr>
      <w:sz w:val="16"/>
      <w:szCs w:val="16"/>
    </w:rPr>
  </w:style>
  <w:style w:type="paragraph" w:styleId="CommentText">
    <w:name w:val="annotation text"/>
    <w:basedOn w:val="Normal"/>
    <w:link w:val="CommentTextChar"/>
    <w:uiPriority w:val="99"/>
    <w:unhideWhenUsed/>
    <w:rsid w:val="00CD6EB0"/>
    <w:pPr>
      <w:spacing w:line="240" w:lineRule="auto"/>
    </w:pPr>
    <w:rPr>
      <w:sz w:val="20"/>
      <w:szCs w:val="20"/>
    </w:rPr>
  </w:style>
  <w:style w:type="character" w:customStyle="1" w:styleId="CommentTextChar">
    <w:name w:val="Comment Text Char"/>
    <w:basedOn w:val="DefaultParagraphFont"/>
    <w:link w:val="CommentText"/>
    <w:uiPriority w:val="99"/>
    <w:rsid w:val="00CD6EB0"/>
    <w:rPr>
      <w:sz w:val="20"/>
      <w:szCs w:val="20"/>
    </w:rPr>
  </w:style>
  <w:style w:type="paragraph" w:styleId="CommentSubject">
    <w:name w:val="annotation subject"/>
    <w:basedOn w:val="CommentText"/>
    <w:next w:val="CommentText"/>
    <w:link w:val="CommentSubjectChar"/>
    <w:uiPriority w:val="99"/>
    <w:semiHidden/>
    <w:unhideWhenUsed/>
    <w:rsid w:val="00CD6EB0"/>
    <w:rPr>
      <w:b/>
      <w:bCs/>
    </w:rPr>
  </w:style>
  <w:style w:type="character" w:customStyle="1" w:styleId="CommentSubjectChar">
    <w:name w:val="Comment Subject Char"/>
    <w:basedOn w:val="CommentTextChar"/>
    <w:link w:val="CommentSubject"/>
    <w:uiPriority w:val="99"/>
    <w:semiHidden/>
    <w:rsid w:val="00CD6EB0"/>
    <w:rPr>
      <w:b/>
      <w:bCs/>
      <w:sz w:val="20"/>
      <w:szCs w:val="20"/>
    </w:rPr>
  </w:style>
  <w:style w:type="paragraph" w:styleId="BalloonText">
    <w:name w:val="Balloon Text"/>
    <w:basedOn w:val="Normal"/>
    <w:link w:val="BalloonTextChar"/>
    <w:uiPriority w:val="99"/>
    <w:semiHidden/>
    <w:unhideWhenUsed/>
    <w:rsid w:val="00CD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B0"/>
    <w:rPr>
      <w:rFonts w:ascii="Segoe UI" w:hAnsi="Segoe UI" w:cs="Segoe UI"/>
      <w:sz w:val="18"/>
      <w:szCs w:val="18"/>
    </w:rPr>
  </w:style>
  <w:style w:type="paragraph" w:styleId="ListParagraph">
    <w:name w:val="List Paragraph"/>
    <w:basedOn w:val="Normal"/>
    <w:uiPriority w:val="34"/>
    <w:qFormat/>
    <w:rsid w:val="00B85229"/>
    <w:pPr>
      <w:ind w:left="720"/>
      <w:contextualSpacing/>
    </w:pPr>
  </w:style>
  <w:style w:type="character" w:styleId="Hyperlink">
    <w:name w:val="Hyperlink"/>
    <w:basedOn w:val="DefaultParagraphFont"/>
    <w:uiPriority w:val="99"/>
    <w:unhideWhenUsed/>
    <w:rsid w:val="009543BE"/>
    <w:rPr>
      <w:color w:val="5F5F5F" w:themeColor="hyperlink"/>
      <w:u w:val="single"/>
    </w:rPr>
  </w:style>
  <w:style w:type="table" w:styleId="TableGrid">
    <w:name w:val="Table Grid"/>
    <w:basedOn w:val="TableNormal"/>
    <w:uiPriority w:val="39"/>
    <w:rsid w:val="0060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FC1"/>
    <w:pPr>
      <w:spacing w:after="0" w:line="240" w:lineRule="auto"/>
    </w:pPr>
  </w:style>
  <w:style w:type="character" w:styleId="Emphasis">
    <w:name w:val="Emphasis"/>
    <w:basedOn w:val="DefaultParagraphFont"/>
    <w:uiPriority w:val="20"/>
    <w:qFormat/>
    <w:rsid w:val="00434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577">
      <w:bodyDiv w:val="1"/>
      <w:marLeft w:val="0"/>
      <w:marRight w:val="0"/>
      <w:marTop w:val="0"/>
      <w:marBottom w:val="0"/>
      <w:divBdr>
        <w:top w:val="none" w:sz="0" w:space="0" w:color="auto"/>
        <w:left w:val="none" w:sz="0" w:space="0" w:color="auto"/>
        <w:bottom w:val="none" w:sz="0" w:space="0" w:color="auto"/>
        <w:right w:val="none" w:sz="0" w:space="0" w:color="auto"/>
      </w:divBdr>
    </w:div>
    <w:div w:id="168445181">
      <w:bodyDiv w:val="1"/>
      <w:marLeft w:val="0"/>
      <w:marRight w:val="0"/>
      <w:marTop w:val="0"/>
      <w:marBottom w:val="0"/>
      <w:divBdr>
        <w:top w:val="none" w:sz="0" w:space="0" w:color="auto"/>
        <w:left w:val="none" w:sz="0" w:space="0" w:color="auto"/>
        <w:bottom w:val="none" w:sz="0" w:space="0" w:color="auto"/>
        <w:right w:val="none" w:sz="0" w:space="0" w:color="auto"/>
      </w:divBdr>
    </w:div>
    <w:div w:id="173149959">
      <w:bodyDiv w:val="1"/>
      <w:marLeft w:val="0"/>
      <w:marRight w:val="0"/>
      <w:marTop w:val="0"/>
      <w:marBottom w:val="0"/>
      <w:divBdr>
        <w:top w:val="none" w:sz="0" w:space="0" w:color="auto"/>
        <w:left w:val="none" w:sz="0" w:space="0" w:color="auto"/>
        <w:bottom w:val="none" w:sz="0" w:space="0" w:color="auto"/>
        <w:right w:val="none" w:sz="0" w:space="0" w:color="auto"/>
      </w:divBdr>
    </w:div>
    <w:div w:id="321663869">
      <w:bodyDiv w:val="1"/>
      <w:marLeft w:val="0"/>
      <w:marRight w:val="0"/>
      <w:marTop w:val="0"/>
      <w:marBottom w:val="0"/>
      <w:divBdr>
        <w:top w:val="none" w:sz="0" w:space="0" w:color="auto"/>
        <w:left w:val="none" w:sz="0" w:space="0" w:color="auto"/>
        <w:bottom w:val="none" w:sz="0" w:space="0" w:color="auto"/>
        <w:right w:val="none" w:sz="0" w:space="0" w:color="auto"/>
      </w:divBdr>
    </w:div>
    <w:div w:id="473525487">
      <w:bodyDiv w:val="1"/>
      <w:marLeft w:val="0"/>
      <w:marRight w:val="0"/>
      <w:marTop w:val="0"/>
      <w:marBottom w:val="0"/>
      <w:divBdr>
        <w:top w:val="none" w:sz="0" w:space="0" w:color="auto"/>
        <w:left w:val="none" w:sz="0" w:space="0" w:color="auto"/>
        <w:bottom w:val="none" w:sz="0" w:space="0" w:color="auto"/>
        <w:right w:val="none" w:sz="0" w:space="0" w:color="auto"/>
      </w:divBdr>
    </w:div>
    <w:div w:id="510725255">
      <w:bodyDiv w:val="1"/>
      <w:marLeft w:val="0"/>
      <w:marRight w:val="0"/>
      <w:marTop w:val="0"/>
      <w:marBottom w:val="0"/>
      <w:divBdr>
        <w:top w:val="none" w:sz="0" w:space="0" w:color="auto"/>
        <w:left w:val="none" w:sz="0" w:space="0" w:color="auto"/>
        <w:bottom w:val="none" w:sz="0" w:space="0" w:color="auto"/>
        <w:right w:val="none" w:sz="0" w:space="0" w:color="auto"/>
      </w:divBdr>
    </w:div>
    <w:div w:id="623772096">
      <w:bodyDiv w:val="1"/>
      <w:marLeft w:val="0"/>
      <w:marRight w:val="0"/>
      <w:marTop w:val="0"/>
      <w:marBottom w:val="0"/>
      <w:divBdr>
        <w:top w:val="none" w:sz="0" w:space="0" w:color="auto"/>
        <w:left w:val="none" w:sz="0" w:space="0" w:color="auto"/>
        <w:bottom w:val="none" w:sz="0" w:space="0" w:color="auto"/>
        <w:right w:val="none" w:sz="0" w:space="0" w:color="auto"/>
      </w:divBdr>
    </w:div>
    <w:div w:id="693965866">
      <w:bodyDiv w:val="1"/>
      <w:marLeft w:val="0"/>
      <w:marRight w:val="0"/>
      <w:marTop w:val="0"/>
      <w:marBottom w:val="0"/>
      <w:divBdr>
        <w:top w:val="none" w:sz="0" w:space="0" w:color="auto"/>
        <w:left w:val="none" w:sz="0" w:space="0" w:color="auto"/>
        <w:bottom w:val="none" w:sz="0" w:space="0" w:color="auto"/>
        <w:right w:val="none" w:sz="0" w:space="0" w:color="auto"/>
      </w:divBdr>
    </w:div>
    <w:div w:id="771054919">
      <w:bodyDiv w:val="1"/>
      <w:marLeft w:val="0"/>
      <w:marRight w:val="0"/>
      <w:marTop w:val="0"/>
      <w:marBottom w:val="0"/>
      <w:divBdr>
        <w:top w:val="none" w:sz="0" w:space="0" w:color="auto"/>
        <w:left w:val="none" w:sz="0" w:space="0" w:color="auto"/>
        <w:bottom w:val="none" w:sz="0" w:space="0" w:color="auto"/>
        <w:right w:val="none" w:sz="0" w:space="0" w:color="auto"/>
      </w:divBdr>
    </w:div>
    <w:div w:id="891502171">
      <w:bodyDiv w:val="1"/>
      <w:marLeft w:val="0"/>
      <w:marRight w:val="0"/>
      <w:marTop w:val="0"/>
      <w:marBottom w:val="0"/>
      <w:divBdr>
        <w:top w:val="none" w:sz="0" w:space="0" w:color="auto"/>
        <w:left w:val="none" w:sz="0" w:space="0" w:color="auto"/>
        <w:bottom w:val="none" w:sz="0" w:space="0" w:color="auto"/>
        <w:right w:val="none" w:sz="0" w:space="0" w:color="auto"/>
      </w:divBdr>
    </w:div>
    <w:div w:id="961426604">
      <w:bodyDiv w:val="1"/>
      <w:marLeft w:val="0"/>
      <w:marRight w:val="0"/>
      <w:marTop w:val="0"/>
      <w:marBottom w:val="0"/>
      <w:divBdr>
        <w:top w:val="none" w:sz="0" w:space="0" w:color="auto"/>
        <w:left w:val="none" w:sz="0" w:space="0" w:color="auto"/>
        <w:bottom w:val="none" w:sz="0" w:space="0" w:color="auto"/>
        <w:right w:val="none" w:sz="0" w:space="0" w:color="auto"/>
      </w:divBdr>
    </w:div>
    <w:div w:id="1044057905">
      <w:bodyDiv w:val="1"/>
      <w:marLeft w:val="0"/>
      <w:marRight w:val="0"/>
      <w:marTop w:val="0"/>
      <w:marBottom w:val="0"/>
      <w:divBdr>
        <w:top w:val="none" w:sz="0" w:space="0" w:color="auto"/>
        <w:left w:val="none" w:sz="0" w:space="0" w:color="auto"/>
        <w:bottom w:val="none" w:sz="0" w:space="0" w:color="auto"/>
        <w:right w:val="none" w:sz="0" w:space="0" w:color="auto"/>
      </w:divBdr>
    </w:div>
    <w:div w:id="1272277203">
      <w:bodyDiv w:val="1"/>
      <w:marLeft w:val="0"/>
      <w:marRight w:val="0"/>
      <w:marTop w:val="0"/>
      <w:marBottom w:val="0"/>
      <w:divBdr>
        <w:top w:val="none" w:sz="0" w:space="0" w:color="auto"/>
        <w:left w:val="none" w:sz="0" w:space="0" w:color="auto"/>
        <w:bottom w:val="none" w:sz="0" w:space="0" w:color="auto"/>
        <w:right w:val="none" w:sz="0" w:space="0" w:color="auto"/>
      </w:divBdr>
    </w:div>
    <w:div w:id="1391538540">
      <w:bodyDiv w:val="1"/>
      <w:marLeft w:val="0"/>
      <w:marRight w:val="0"/>
      <w:marTop w:val="0"/>
      <w:marBottom w:val="0"/>
      <w:divBdr>
        <w:top w:val="none" w:sz="0" w:space="0" w:color="auto"/>
        <w:left w:val="none" w:sz="0" w:space="0" w:color="auto"/>
        <w:bottom w:val="none" w:sz="0" w:space="0" w:color="auto"/>
        <w:right w:val="none" w:sz="0" w:space="0" w:color="auto"/>
      </w:divBdr>
    </w:div>
    <w:div w:id="17893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1FE2-469A-4F3F-A723-497CF020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8</cp:revision>
  <cp:lastPrinted>2023-04-19T13:16:00Z</cp:lastPrinted>
  <dcterms:created xsi:type="dcterms:W3CDTF">2023-05-02T08:04:00Z</dcterms:created>
  <dcterms:modified xsi:type="dcterms:W3CDTF">2023-05-02T12:22:00Z</dcterms:modified>
</cp:coreProperties>
</file>