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599CB277"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proofErr w:type="gramStart"/>
      <w:r>
        <w:rPr>
          <w:rFonts w:ascii="Arial" w:hAnsi="Arial" w:cs="Arial"/>
          <w:b/>
          <w:sz w:val="26"/>
          <w:szCs w:val="26"/>
          <w:lang w:val="fr-LU"/>
        </w:rPr>
        <w:t>sur</w:t>
      </w:r>
      <w:proofErr w:type="gramEnd"/>
      <w:r>
        <w:rPr>
          <w:rFonts w:ascii="Arial" w:hAnsi="Arial" w:cs="Arial"/>
          <w:b/>
          <w:sz w:val="26"/>
          <w:szCs w:val="26"/>
          <w:lang w:val="fr-LU"/>
        </w:rPr>
        <w:t xml:space="preserve"> la convention opérant la cession de</w:t>
      </w:r>
      <w:r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w:t>
      </w:r>
      <w:r w:rsidR="00855F2D">
        <w:rPr>
          <w:rFonts w:ascii="Arial" w:hAnsi="Arial" w:cs="Arial"/>
          <w:b/>
          <w:sz w:val="26"/>
          <w:szCs w:val="26"/>
          <w:lang w:val="fr-LU"/>
        </w:rPr>
        <w:t>au FDL</w:t>
      </w:r>
    </w:p>
    <w:p w14:paraId="4F80BF0D" w14:textId="181994A1"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Suite à l’adoption de la loi du 30 juillet 2021 relative au Pacte logement avec les communes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4DA27FA7"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EE237C">
        <w:rPr>
          <w:rFonts w:ascii="Arial" w:hAnsi="Arial" w:cs="Arial"/>
          <w:sz w:val="24"/>
          <w:szCs w:val="24"/>
          <w:lang w:val="fr-LU"/>
        </w:rPr>
        <w:t>constitution d’un parc</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Pr="00E47DE9">
        <w:rPr>
          <w:rFonts w:ascii="Arial" w:hAnsi="Arial" w:cs="Arial"/>
          <w:sz w:val="24"/>
          <w:szCs w:val="24"/>
          <w:lang w:val="fr-LU"/>
        </w:rPr>
        <w:t xml:space="preserve">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77777777"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second de ces cas de figure </w:t>
      </w:r>
      <w:r w:rsidR="006033A8" w:rsidRPr="00E47DE9">
        <w:rPr>
          <w:rFonts w:ascii="Arial" w:hAnsi="Arial" w:cs="Arial"/>
          <w:sz w:val="24"/>
          <w:szCs w:val="24"/>
          <w:lang w:val="fr-LU"/>
        </w:rPr>
        <w:t xml:space="preserve">et vise partant </w:t>
      </w:r>
      <w:r w:rsidR="007C011F" w:rsidRPr="00E47DE9">
        <w:rPr>
          <w:rFonts w:ascii="Arial" w:hAnsi="Arial" w:cs="Arial"/>
          <w:sz w:val="24"/>
          <w:szCs w:val="24"/>
          <w:lang w:val="fr-LU"/>
        </w:rPr>
        <w:t xml:space="preserve">à la fois </w:t>
      </w:r>
      <w:r w:rsidR="000233F1" w:rsidRPr="00E47DE9">
        <w:rPr>
          <w:rFonts w:ascii="Arial" w:hAnsi="Arial" w:cs="Arial"/>
          <w:sz w:val="24"/>
          <w:szCs w:val="24"/>
          <w:lang w:val="fr-LU"/>
        </w:rPr>
        <w:t>la cession d</w:t>
      </w:r>
      <w:r w:rsidR="007C011F" w:rsidRPr="00E47DE9">
        <w:rPr>
          <w:rFonts w:ascii="Arial" w:hAnsi="Arial" w:cs="Arial"/>
          <w:sz w:val="24"/>
          <w:szCs w:val="24"/>
          <w:lang w:val="fr-LU"/>
        </w:rPr>
        <w:t xml:space="preserve">es fonds </w:t>
      </w:r>
      <w:r w:rsidR="000233F1" w:rsidRPr="00E47DE9">
        <w:rPr>
          <w:rFonts w:ascii="Arial" w:hAnsi="Arial" w:cs="Arial"/>
          <w:sz w:val="24"/>
          <w:szCs w:val="24"/>
          <w:lang w:val="fr-LU"/>
        </w:rPr>
        <w:t>que d</w:t>
      </w:r>
      <w:r w:rsidR="00153959" w:rsidRPr="00E47DE9">
        <w:rPr>
          <w:rFonts w:ascii="Arial" w:hAnsi="Arial" w:cs="Arial"/>
          <w:sz w:val="24"/>
          <w:szCs w:val="24"/>
          <w:lang w:val="fr-LU"/>
        </w:rPr>
        <w:t>e</w:t>
      </w:r>
      <w:r w:rsidR="007C011F" w:rsidRPr="00E47DE9">
        <w:rPr>
          <w:rFonts w:ascii="Arial" w:hAnsi="Arial" w:cs="Arial"/>
          <w:sz w:val="24"/>
          <w:szCs w:val="24"/>
          <w:lang w:val="fr-LU"/>
        </w:rPr>
        <w:t xml:space="preserve">s logements abordables eux-mêmes.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670C3D" w:rsidRPr="00E47DE9">
        <w:rPr>
          <w:rFonts w:ascii="Arial" w:hAnsi="Arial" w:cs="Arial"/>
          <w:sz w:val="24"/>
          <w:szCs w:val="24"/>
          <w:lang w:val="fr-LU"/>
        </w:rPr>
        <w:t xml:space="preserve">sur la </w:t>
      </w:r>
      <w:r w:rsidR="008964EA" w:rsidRPr="00E47DE9">
        <w:rPr>
          <w:rFonts w:ascii="Arial" w:hAnsi="Arial" w:cs="Arial"/>
          <w:sz w:val="24"/>
          <w:szCs w:val="24"/>
          <w:lang w:val="fr-LU"/>
        </w:rPr>
        <w:t xml:space="preserve">seule </w:t>
      </w:r>
      <w:r w:rsidR="00117079" w:rsidRPr="00E47DE9">
        <w:rPr>
          <w:rFonts w:ascii="Arial" w:hAnsi="Arial" w:cs="Arial"/>
          <w:sz w:val="24"/>
          <w:szCs w:val="24"/>
          <w:lang w:val="fr-LU"/>
        </w:rPr>
        <w:t>cession des fonds réservés aux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B66EBCE" w14:textId="2FD12EA1" w:rsidR="00BA7F7B" w:rsidRPr="00E47DE9" w:rsidRDefault="006033A8" w:rsidP="00BA7F7B">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ce </w:t>
      </w:r>
      <w:r w:rsidR="007C011F" w:rsidRPr="00E47DE9">
        <w:rPr>
          <w:rFonts w:ascii="Arial" w:hAnsi="Arial" w:cs="Arial"/>
          <w:sz w:val="24"/>
          <w:szCs w:val="24"/>
          <w:lang w:val="fr-LU"/>
        </w:rPr>
        <w:t>contexte,</w:t>
      </w:r>
      <w:r w:rsidRPr="00E47DE9">
        <w:rPr>
          <w:rFonts w:ascii="Arial" w:hAnsi="Arial" w:cs="Arial"/>
          <w:sz w:val="24"/>
          <w:szCs w:val="24"/>
          <w:lang w:val="fr-LU"/>
        </w:rPr>
        <w:t xml:space="preserve"> il est rappelé qu</w:t>
      </w:r>
      <w:r w:rsidR="007C011F" w:rsidRPr="00E47DE9">
        <w:rPr>
          <w:rFonts w:ascii="Arial" w:hAnsi="Arial" w:cs="Arial"/>
          <w:sz w:val="24"/>
          <w:szCs w:val="24"/>
          <w:lang w:val="fr-LU"/>
        </w:rPr>
        <w:t>’à défaut</w:t>
      </w:r>
      <w:r w:rsidRPr="00E47DE9">
        <w:rPr>
          <w:rFonts w:ascii="Arial" w:hAnsi="Arial" w:cs="Arial"/>
          <w:sz w:val="24"/>
          <w:szCs w:val="24"/>
          <w:lang w:val="fr-LU"/>
        </w:rPr>
        <w:t xml:space="preserve"> d’accord des parties au sujet du prix de cession des logements abordables</w:t>
      </w:r>
      <w:r w:rsidR="007C011F" w:rsidRPr="00E47DE9">
        <w:rPr>
          <w:rFonts w:ascii="Arial" w:hAnsi="Arial" w:cs="Arial"/>
          <w:sz w:val="24"/>
          <w:szCs w:val="24"/>
          <w:lang w:val="fr-LU"/>
        </w:rPr>
        <w:t xml:space="preserve">, la loi </w:t>
      </w:r>
      <w:r w:rsidR="00EF4D92" w:rsidRPr="00E47DE9">
        <w:rPr>
          <w:rFonts w:ascii="Arial" w:hAnsi="Arial" w:cs="Arial"/>
          <w:sz w:val="24"/>
          <w:szCs w:val="24"/>
          <w:lang w:val="fr-LU"/>
        </w:rPr>
        <w:t xml:space="preserve">ACDU </w:t>
      </w:r>
      <w:r w:rsidR="007C011F" w:rsidRPr="00E47DE9">
        <w:rPr>
          <w:rFonts w:ascii="Arial" w:hAnsi="Arial" w:cs="Arial"/>
          <w:sz w:val="24"/>
          <w:szCs w:val="24"/>
          <w:lang w:val="fr-LU"/>
        </w:rPr>
        <w:t xml:space="preserve">prévoit </w:t>
      </w:r>
      <w:r w:rsidR="00EF4D92" w:rsidRPr="00E47DE9">
        <w:rPr>
          <w:rFonts w:ascii="Arial" w:hAnsi="Arial" w:cs="Arial"/>
          <w:sz w:val="24"/>
          <w:szCs w:val="24"/>
          <w:lang w:val="fr-LU"/>
        </w:rPr>
        <w:t xml:space="preserve">en son </w:t>
      </w:r>
      <w:r w:rsidR="00BA7F7B" w:rsidRPr="00E47DE9">
        <w:rPr>
          <w:rFonts w:ascii="Arial" w:hAnsi="Arial" w:cs="Arial"/>
          <w:sz w:val="24"/>
          <w:szCs w:val="24"/>
          <w:lang w:val="fr-LU"/>
        </w:rPr>
        <w:t>article 29</w:t>
      </w:r>
      <w:r w:rsidR="00BA7F7B" w:rsidRPr="00E47DE9">
        <w:rPr>
          <w:rFonts w:ascii="Arial" w:hAnsi="Arial" w:cs="Arial"/>
          <w:i/>
          <w:sz w:val="24"/>
          <w:szCs w:val="24"/>
          <w:lang w:val="fr-LU"/>
        </w:rPr>
        <w:t>bis</w:t>
      </w:r>
      <w:r w:rsidR="00BA7F7B" w:rsidRPr="00E47DE9">
        <w:rPr>
          <w:rFonts w:ascii="Arial" w:hAnsi="Arial" w:cs="Arial"/>
          <w:sz w:val="24"/>
          <w:szCs w:val="24"/>
          <w:lang w:val="fr-LU"/>
        </w:rPr>
        <w:t xml:space="preserve"> (6), alinéas 3 et 4, </w:t>
      </w:r>
      <w:r w:rsidR="00EF4D92" w:rsidRPr="00E47DE9">
        <w:rPr>
          <w:rFonts w:ascii="Arial" w:hAnsi="Arial" w:cs="Arial"/>
          <w:sz w:val="24"/>
          <w:szCs w:val="24"/>
          <w:lang w:val="fr-LU"/>
        </w:rPr>
        <w:t xml:space="preserve">une procédure de nomination d’un expert impartial par </w:t>
      </w:r>
      <w:r w:rsidR="00BA7F7B" w:rsidRPr="00E47DE9">
        <w:rPr>
          <w:rFonts w:ascii="Arial" w:hAnsi="Arial" w:cs="Arial"/>
          <w:sz w:val="24"/>
          <w:szCs w:val="24"/>
          <w:lang w:val="fr-LU"/>
        </w:rPr>
        <w:t>le</w:t>
      </w:r>
      <w:r w:rsidR="00153959" w:rsidRPr="00E47DE9">
        <w:rPr>
          <w:rFonts w:ascii="Arial" w:hAnsi="Arial" w:cs="Arial"/>
          <w:sz w:val="24"/>
          <w:szCs w:val="24"/>
          <w:lang w:val="fr-LU"/>
        </w:rPr>
        <w:t xml:space="preserve"> biais du</w:t>
      </w:r>
      <w:r w:rsidR="00BA7F7B" w:rsidRPr="00E47DE9">
        <w:rPr>
          <w:rFonts w:ascii="Arial" w:hAnsi="Arial" w:cs="Arial"/>
          <w:sz w:val="24"/>
          <w:szCs w:val="24"/>
          <w:lang w:val="fr-LU"/>
        </w:rPr>
        <w:t xml:space="preserve"> président du tribunal d’arrondissement du lieu des fonds concernés. </w:t>
      </w:r>
    </w:p>
    <w:p w14:paraId="75AE063E" w14:textId="5B1CD447"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w:t>
      </w:r>
      <w:r w:rsidR="00072E43">
        <w:rPr>
          <w:rFonts w:ascii="Arial" w:hAnsi="Arial" w:cs="Arial"/>
          <w:sz w:val="24"/>
          <w:szCs w:val="24"/>
          <w:lang w:val="fr-LU"/>
        </w:rPr>
        <w:t xml:space="preserve">également </w:t>
      </w:r>
      <w:r w:rsidR="007A58EA" w:rsidRPr="00E47DE9">
        <w:rPr>
          <w:rFonts w:ascii="Arial" w:hAnsi="Arial" w:cs="Arial"/>
          <w:sz w:val="24"/>
          <w:szCs w:val="24"/>
          <w:lang w:val="fr-LU"/>
        </w:rPr>
        <w:t>rappelé que la présente convention doit obligatoirement avoir fait l’objet d’une approbation ministérielle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43AA9543"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la prochaine étape, consistant en la conclusion de l’acte notarié opérant la cession des fonds et des logements. Cet acte p</w:t>
      </w:r>
      <w:r w:rsidR="00072E43">
        <w:rPr>
          <w:rFonts w:ascii="Arial" w:hAnsi="Arial" w:cs="Arial"/>
          <w:sz w:val="24"/>
          <w:szCs w:val="24"/>
          <w:lang w:val="fr-LU"/>
        </w:rPr>
        <w:t>rend</w:t>
      </w:r>
      <w:r w:rsidR="000233F1" w:rsidRPr="00E47DE9">
        <w:rPr>
          <w:rFonts w:ascii="Arial" w:hAnsi="Arial" w:cs="Arial"/>
          <w:sz w:val="24"/>
          <w:szCs w:val="24"/>
          <w:lang w:val="fr-LU"/>
        </w:rPr>
        <w:t xml:space="preserve"> la forme d’une vente en état futur d’achèvement </w:t>
      </w:r>
      <w:r w:rsidR="007143B0" w:rsidRPr="00E47DE9">
        <w:rPr>
          <w:rFonts w:ascii="Arial" w:hAnsi="Arial" w:cs="Arial"/>
          <w:sz w:val="24"/>
          <w:szCs w:val="24"/>
          <w:lang w:val="fr-LU"/>
        </w:rPr>
        <w:t xml:space="preserve">ou, le cas échéant, d’une vente à terme, </w:t>
      </w:r>
      <w:r w:rsidR="000233F1" w:rsidRPr="00E47DE9">
        <w:rPr>
          <w:rFonts w:ascii="Arial" w:hAnsi="Arial" w:cs="Arial"/>
          <w:sz w:val="24"/>
          <w:szCs w:val="24"/>
          <w:lang w:val="fr-LU"/>
        </w:rPr>
        <w:t>au sens de</w:t>
      </w:r>
      <w:r w:rsidR="007143B0" w:rsidRPr="00E47DE9">
        <w:rPr>
          <w:rFonts w:ascii="Arial" w:hAnsi="Arial" w:cs="Arial"/>
          <w:sz w:val="24"/>
          <w:szCs w:val="24"/>
          <w:lang w:val="fr-LU"/>
        </w:rPr>
        <w:t>s</w:t>
      </w:r>
      <w:r w:rsidR="000233F1" w:rsidRPr="00E47DE9">
        <w:rPr>
          <w:rFonts w:ascii="Arial" w:hAnsi="Arial" w:cs="Arial"/>
          <w:sz w:val="24"/>
          <w:szCs w:val="24"/>
          <w:lang w:val="fr-LU"/>
        </w:rPr>
        <w:t xml:space="preserve"> </w:t>
      </w:r>
      <w:r w:rsidR="00A845AB" w:rsidRPr="00E47DE9">
        <w:rPr>
          <w:rFonts w:ascii="Arial" w:hAnsi="Arial" w:cs="Arial"/>
          <w:sz w:val="24"/>
          <w:szCs w:val="24"/>
          <w:lang w:val="fr-LU"/>
        </w:rPr>
        <w:t>article</w:t>
      </w:r>
      <w:r w:rsidR="007143B0" w:rsidRPr="00E47DE9">
        <w:rPr>
          <w:rFonts w:ascii="Arial" w:hAnsi="Arial" w:cs="Arial"/>
          <w:sz w:val="24"/>
          <w:szCs w:val="24"/>
          <w:lang w:val="fr-LU"/>
        </w:rPr>
        <w:t>s</w:t>
      </w:r>
      <w:r w:rsidR="00A845AB" w:rsidRPr="00E47DE9">
        <w:rPr>
          <w:rFonts w:ascii="Arial" w:hAnsi="Arial" w:cs="Arial"/>
          <w:sz w:val="24"/>
          <w:szCs w:val="24"/>
          <w:lang w:val="fr-LU"/>
        </w:rPr>
        <w:t xml:space="preserve"> 1601-</w:t>
      </w:r>
      <w:r w:rsidR="007143B0" w:rsidRPr="00E47DE9">
        <w:rPr>
          <w:rFonts w:ascii="Arial" w:hAnsi="Arial" w:cs="Arial"/>
          <w:sz w:val="24"/>
          <w:szCs w:val="24"/>
          <w:lang w:val="fr-LU"/>
        </w:rPr>
        <w:t>1</w:t>
      </w:r>
      <w:r w:rsidR="00A845AB" w:rsidRPr="00E47DE9">
        <w:rPr>
          <w:rFonts w:ascii="Arial" w:hAnsi="Arial" w:cs="Arial"/>
          <w:sz w:val="24"/>
          <w:szCs w:val="24"/>
          <w:lang w:val="fr-LU"/>
        </w:rPr>
        <w:t xml:space="preserve"> </w:t>
      </w:r>
      <w:r w:rsidR="007143B0" w:rsidRPr="00E47DE9">
        <w:rPr>
          <w:rFonts w:ascii="Arial" w:hAnsi="Arial" w:cs="Arial"/>
          <w:sz w:val="24"/>
          <w:szCs w:val="24"/>
          <w:lang w:val="fr-LU"/>
        </w:rPr>
        <w:t xml:space="preserve">et suivants </w:t>
      </w:r>
      <w:r w:rsidR="00A845AB" w:rsidRPr="00E47DE9">
        <w:rPr>
          <w:rFonts w:ascii="Arial" w:hAnsi="Arial" w:cs="Arial"/>
          <w:sz w:val="24"/>
          <w:szCs w:val="24"/>
          <w:lang w:val="fr-LU"/>
        </w:rPr>
        <w:t>du Code civil.</w:t>
      </w:r>
      <w:r w:rsidRPr="00E47DE9">
        <w:rPr>
          <w:rFonts w:ascii="Arial" w:hAnsi="Arial" w:cs="Arial"/>
          <w:sz w:val="24"/>
          <w:szCs w:val="24"/>
          <w:lang w:val="fr-LU"/>
        </w:rPr>
        <w:t xml:space="preserve"> </w:t>
      </w:r>
    </w:p>
    <w:p w14:paraId="66CD93A7" w14:textId="149E95E9"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portant sur la cession </w:t>
      </w:r>
      <w:r w:rsidR="00072E43">
        <w:rPr>
          <w:rFonts w:ascii="Arial" w:hAnsi="Arial" w:cs="Arial"/>
          <w:sz w:val="24"/>
          <w:szCs w:val="24"/>
          <w:lang w:val="fr-LU"/>
        </w:rPr>
        <w:t xml:space="preserve">des logements abordables </w:t>
      </w:r>
      <w:r w:rsidRPr="00E47DE9">
        <w:rPr>
          <w:rFonts w:ascii="Arial" w:hAnsi="Arial" w:cs="Arial"/>
          <w:sz w:val="24"/>
          <w:szCs w:val="24"/>
          <w:lang w:val="fr-LU"/>
        </w:rPr>
        <w:t xml:space="preserve">peut facultativement </w:t>
      </w:r>
      <w:r w:rsidR="00402E1A">
        <w:rPr>
          <w:rFonts w:ascii="Arial" w:hAnsi="Arial" w:cs="Arial"/>
          <w:sz w:val="24"/>
          <w:szCs w:val="24"/>
          <w:lang w:val="fr-LU"/>
        </w:rPr>
        <w:t>être intégrée</w:t>
      </w:r>
      <w:r w:rsidR="00FC6E1F" w:rsidRPr="00E47DE9">
        <w:rPr>
          <w:rFonts w:ascii="Arial" w:hAnsi="Arial" w:cs="Arial"/>
          <w:sz w:val="24"/>
          <w:szCs w:val="24"/>
          <w:lang w:val="fr-LU"/>
        </w:rPr>
        <w:t xml:space="preserve"> </w:t>
      </w:r>
      <w:r w:rsidR="00033BC7">
        <w:rPr>
          <w:rFonts w:ascii="Arial" w:hAnsi="Arial" w:cs="Arial"/>
          <w:sz w:val="24"/>
          <w:szCs w:val="24"/>
          <w:lang w:val="fr-LU"/>
        </w:rPr>
        <w:t xml:space="preserve">dans </w:t>
      </w:r>
      <w:bookmarkStart w:id="0" w:name="_GoBack"/>
      <w:bookmarkEnd w:id="0"/>
      <w:r w:rsidR="00FC6E1F" w:rsidRPr="00E47DE9">
        <w:rPr>
          <w:rFonts w:ascii="Arial" w:hAnsi="Arial" w:cs="Arial"/>
          <w:sz w:val="24"/>
          <w:szCs w:val="24"/>
          <w:lang w:val="fr-LU"/>
        </w:rPr>
        <w:t>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7143B0" w:rsidRPr="00E47DE9">
        <w:rPr>
          <w:rFonts w:ascii="Arial" w:hAnsi="Arial" w:cs="Arial"/>
          <w:sz w:val="24"/>
          <w:szCs w:val="24"/>
          <w:lang w:val="fr-LU"/>
        </w:rPr>
        <w:t>, pour autant que la planification des logements abordables soit suffisamment avancée lors de la conclusion de la convention d’exécution</w:t>
      </w:r>
      <w:r w:rsidR="00155D1E">
        <w:rPr>
          <w:rFonts w:ascii="Arial" w:hAnsi="Arial" w:cs="Arial"/>
          <w:sz w:val="24"/>
          <w:szCs w:val="24"/>
          <w:lang w:val="fr-LU"/>
        </w:rPr>
        <w:t>.</w:t>
      </w:r>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lastRenderedPageBreak/>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w:t>
      </w:r>
      <w:proofErr w:type="spellStart"/>
      <w:r w:rsidR="00155D1E">
        <w:rPr>
          <w:rFonts w:ascii="Arial" w:hAnsi="Arial" w:cs="Arial"/>
          <w:sz w:val="24"/>
          <w:szCs w:val="24"/>
          <w:lang w:val="fr-LU"/>
        </w:rPr>
        <w:t>subventionnable</w:t>
      </w:r>
      <w:proofErr w:type="spellEnd"/>
      <w:r w:rsidR="00155D1E">
        <w:rPr>
          <w:rFonts w:ascii="Arial" w:hAnsi="Arial" w:cs="Arial"/>
          <w:sz w:val="24"/>
          <w:szCs w:val="24"/>
          <w:lang w:val="fr-LU"/>
        </w:rPr>
        <w:t>.</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09A8509B" w14:textId="77777777" w:rsidR="00CE072C" w:rsidRDefault="00CE072C">
      <w:pPr>
        <w:rPr>
          <w:rFonts w:ascii="Arial" w:hAnsi="Arial" w:cs="Arial"/>
          <w:sz w:val="24"/>
          <w:szCs w:val="24"/>
          <w:lang w:val="fr-LU"/>
        </w:rPr>
      </w:pPr>
      <w:r>
        <w:rPr>
          <w:rFonts w:ascii="Arial" w:hAnsi="Arial" w:cs="Arial"/>
          <w:sz w:val="24"/>
          <w:szCs w:val="24"/>
          <w:lang w:val="fr-LU"/>
        </w:rPr>
        <w:br w:type="page"/>
      </w:r>
    </w:p>
    <w:p w14:paraId="22BD4F57" w14:textId="5D6CF007"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CE072C">
        <w:rPr>
          <w:rFonts w:ascii="Arial" w:hAnsi="Arial" w:cs="Arial"/>
          <w:b/>
          <w:sz w:val="26"/>
          <w:szCs w:val="26"/>
          <w:lang w:val="fr-LU"/>
        </w:rPr>
        <w:t xml:space="preserve"> sur la cession de</w:t>
      </w:r>
      <w:r w:rsidR="00E55CEF" w:rsidRPr="00897E14">
        <w:rPr>
          <w:rFonts w:ascii="Arial" w:hAnsi="Arial" w:cs="Arial"/>
          <w:b/>
          <w:sz w:val="26"/>
          <w:szCs w:val="26"/>
          <w:lang w:val="fr-LU"/>
        </w:rPr>
        <w:t xml:space="preserve"> logements abordables et de leurs fonds</w:t>
      </w:r>
      <w:r w:rsidR="00402E1A">
        <w:rPr>
          <w:rFonts w:ascii="Arial" w:hAnsi="Arial" w:cs="Arial"/>
          <w:b/>
          <w:sz w:val="26"/>
          <w:szCs w:val="26"/>
          <w:lang w:val="fr-LU"/>
        </w:rPr>
        <w:t xml:space="preserve"> </w:t>
      </w:r>
      <w:r w:rsidR="00855F2D">
        <w:rPr>
          <w:rFonts w:ascii="Arial" w:hAnsi="Arial" w:cs="Arial"/>
          <w:b/>
          <w:sz w:val="26"/>
          <w:szCs w:val="26"/>
          <w:lang w:val="fr-LU"/>
        </w:rPr>
        <w:t>au FDL</w:t>
      </w:r>
    </w:p>
    <w:p w14:paraId="7D49F90A" w14:textId="77777777" w:rsidR="001C0C58" w:rsidRDefault="00E55CEF" w:rsidP="00F76013">
      <w:pPr>
        <w:spacing w:line="276" w:lineRule="auto"/>
        <w:jc w:val="both"/>
        <w:rPr>
          <w:rFonts w:ascii="Arial" w:hAnsi="Arial" w:cs="Arial"/>
          <w:sz w:val="24"/>
          <w:szCs w:val="24"/>
          <w:lang w:val="fr-LU"/>
        </w:rPr>
      </w:pPr>
      <w:r w:rsidRPr="00E47DE9">
        <w:rPr>
          <w:rFonts w:ascii="Arial" w:hAnsi="Arial" w:cs="Arial"/>
          <w:sz w:val="24"/>
          <w:szCs w:val="24"/>
          <w:lang w:val="fr-LU"/>
        </w:rPr>
        <w:br/>
      </w:r>
    </w:p>
    <w:p w14:paraId="53996FC8" w14:textId="47EA2994" w:rsidR="007D688E" w:rsidRDefault="007D688E" w:rsidP="00F76013">
      <w:p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entre</w:t>
      </w:r>
      <w:proofErr w:type="gramEnd"/>
    </w:p>
    <w:p w14:paraId="65FD05C3" w14:textId="77777777" w:rsidR="00855F2D" w:rsidRDefault="00855F2D" w:rsidP="00F76013">
      <w:pPr>
        <w:spacing w:line="276" w:lineRule="auto"/>
        <w:jc w:val="both"/>
        <w:rPr>
          <w:rFonts w:ascii="Arial" w:hAnsi="Arial" w:cs="Arial"/>
          <w:sz w:val="24"/>
          <w:szCs w:val="24"/>
          <w:lang w:val="fr-LU"/>
        </w:rPr>
      </w:pPr>
    </w:p>
    <w:p w14:paraId="50E077FE" w14:textId="2303E194" w:rsidR="004D3539" w:rsidRDefault="00855F2D" w:rsidP="00F76013">
      <w:pPr>
        <w:spacing w:line="276" w:lineRule="auto"/>
        <w:jc w:val="both"/>
        <w:rPr>
          <w:rFonts w:ascii="Arial" w:hAnsi="Arial" w:cs="Arial"/>
          <w:sz w:val="24"/>
          <w:szCs w:val="24"/>
          <w:lang w:val="fr-LU"/>
        </w:rPr>
      </w:pPr>
      <w:proofErr w:type="gramStart"/>
      <w:r>
        <w:rPr>
          <w:rFonts w:ascii="Arial" w:hAnsi="Arial" w:cs="Arial"/>
          <w:sz w:val="24"/>
          <w:szCs w:val="24"/>
          <w:lang w:val="fr-LU"/>
        </w:rPr>
        <w:t>l’établissement</w:t>
      </w:r>
      <w:proofErr w:type="gramEnd"/>
      <w:r>
        <w:rPr>
          <w:rFonts w:ascii="Arial" w:hAnsi="Arial" w:cs="Arial"/>
          <w:sz w:val="24"/>
          <w:szCs w:val="24"/>
          <w:lang w:val="fr-LU"/>
        </w:rPr>
        <w:t xml:space="preserve"> public FONDS DU LOGEMENTS,</w:t>
      </w:r>
      <w:r w:rsidR="004D3539">
        <w:rPr>
          <w:rFonts w:ascii="Arial" w:hAnsi="Arial" w:cs="Arial"/>
          <w:sz w:val="24"/>
          <w:szCs w:val="24"/>
          <w:lang w:val="fr-LU"/>
        </w:rPr>
        <w:t xml:space="preserve"> </w:t>
      </w:r>
      <w:r>
        <w:rPr>
          <w:rFonts w:ascii="Arial" w:hAnsi="Arial" w:cs="Arial"/>
          <w:sz w:val="24"/>
          <w:szCs w:val="24"/>
          <w:lang w:val="fr-LU"/>
        </w:rPr>
        <w:t xml:space="preserve">établi et ayant son siège social à L-1311 Luxembourg, 52, Boulevard Marcel </w:t>
      </w:r>
      <w:proofErr w:type="spellStart"/>
      <w:r>
        <w:rPr>
          <w:rFonts w:ascii="Arial" w:hAnsi="Arial" w:cs="Arial"/>
          <w:sz w:val="24"/>
          <w:szCs w:val="24"/>
          <w:lang w:val="fr-LU"/>
        </w:rPr>
        <w:t>Cahen</w:t>
      </w:r>
      <w:proofErr w:type="spellEnd"/>
      <w:r>
        <w:rPr>
          <w:rFonts w:ascii="Arial" w:hAnsi="Arial" w:cs="Arial"/>
          <w:sz w:val="24"/>
          <w:szCs w:val="24"/>
          <w:lang w:val="fr-LU"/>
        </w:rPr>
        <w:t xml:space="preserve">, inscrit au registre de commerce et des sociétés sous le numéro J2, </w:t>
      </w:r>
      <w:r w:rsidR="004D3539">
        <w:rPr>
          <w:rFonts w:ascii="Arial" w:hAnsi="Arial" w:cs="Arial"/>
          <w:sz w:val="24"/>
          <w:szCs w:val="24"/>
          <w:lang w:val="fr-LU"/>
        </w:rPr>
        <w:t xml:space="preserve">représenté par son conseil d’administration actuellement en fonctions, </w:t>
      </w:r>
    </w:p>
    <w:p w14:paraId="0F34E3F2" w14:textId="66F1ACB3" w:rsidR="004D3539" w:rsidRPr="004D3539" w:rsidRDefault="004D3539" w:rsidP="00F76013">
      <w:pPr>
        <w:spacing w:line="276" w:lineRule="auto"/>
        <w:jc w:val="both"/>
        <w:rPr>
          <w:rFonts w:ascii="Arial" w:hAnsi="Arial" w:cs="Arial"/>
          <w:sz w:val="24"/>
          <w:szCs w:val="24"/>
          <w:lang w:val="fr-FR"/>
        </w:rPr>
      </w:pPr>
      <w:proofErr w:type="gramStart"/>
      <w:r>
        <w:rPr>
          <w:rFonts w:ascii="Arial" w:hAnsi="Arial" w:cs="Arial"/>
          <w:sz w:val="24"/>
          <w:szCs w:val="24"/>
          <w:lang w:val="fr-LU"/>
        </w:rPr>
        <w:t>ci</w:t>
      </w:r>
      <w:proofErr w:type="gramEnd"/>
      <w:r>
        <w:rPr>
          <w:rFonts w:ascii="Arial" w:hAnsi="Arial" w:cs="Arial"/>
          <w:sz w:val="24"/>
          <w:szCs w:val="24"/>
          <w:lang w:val="fr-LU"/>
        </w:rPr>
        <w:t>-après « </w:t>
      </w:r>
      <w:r w:rsidR="00855F2D">
        <w:rPr>
          <w:rFonts w:ascii="Arial" w:hAnsi="Arial" w:cs="Arial"/>
          <w:sz w:val="24"/>
          <w:szCs w:val="24"/>
          <w:lang w:val="fr-LU"/>
        </w:rPr>
        <w:t>le FDL</w:t>
      </w:r>
      <w:r>
        <w:rPr>
          <w:rFonts w:ascii="Arial" w:hAnsi="Arial" w:cs="Arial"/>
          <w:sz w:val="24"/>
          <w:szCs w:val="24"/>
          <w:lang w:val="fr-LU"/>
        </w:rPr>
        <w:t xml:space="preserve"> », </w:t>
      </w:r>
    </w:p>
    <w:p w14:paraId="18CE5508" w14:textId="6F2E2CBA" w:rsidR="007D688E" w:rsidRDefault="00897E14" w:rsidP="00F76013">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proofErr w:type="gramStart"/>
      <w:r w:rsidRPr="005F55F3">
        <w:rPr>
          <w:rFonts w:ascii="Arial" w:hAnsi="Arial" w:cs="Arial"/>
          <w:color w:val="5B9BD5" w:themeColor="accent1"/>
          <w:sz w:val="24"/>
          <w:szCs w:val="24"/>
          <w:lang w:val="fr-LU"/>
        </w:rPr>
        <w:t>ci</w:t>
      </w:r>
      <w:proofErr w:type="gramEnd"/>
      <w:r w:rsidRPr="005F55F3">
        <w:rPr>
          <w:rFonts w:ascii="Arial" w:hAnsi="Arial" w:cs="Arial"/>
          <w:color w:val="5B9BD5" w:themeColor="accent1"/>
          <w:sz w:val="24"/>
          <w:szCs w:val="24"/>
          <w:lang w:val="fr-LU"/>
        </w:rPr>
        <w:t xml:space="preserve">-après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proofErr w:type="gramStart"/>
      <w:r w:rsidRPr="005F55F3">
        <w:rPr>
          <w:rFonts w:ascii="Arial" w:hAnsi="Arial" w:cs="Arial"/>
          <w:color w:val="70AD47" w:themeColor="accent6"/>
          <w:sz w:val="24"/>
          <w:szCs w:val="24"/>
          <w:lang w:val="fr-LU"/>
        </w:rPr>
        <w:t>ci</w:t>
      </w:r>
      <w:proofErr w:type="gramEnd"/>
      <w:r w:rsidRPr="005F55F3">
        <w:rPr>
          <w:rFonts w:ascii="Arial" w:hAnsi="Arial" w:cs="Arial"/>
          <w:color w:val="70AD47" w:themeColor="accent6"/>
          <w:sz w:val="24"/>
          <w:szCs w:val="24"/>
          <w:lang w:val="fr-LU"/>
        </w:rPr>
        <w:t xml:space="preserve">-après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proofErr w:type="gramStart"/>
      <w:r w:rsidR="00415D83" w:rsidRPr="005F55F3">
        <w:rPr>
          <w:rFonts w:ascii="Arial" w:hAnsi="Arial" w:cs="Arial"/>
          <w:sz w:val="24"/>
          <w:szCs w:val="24"/>
          <w:lang w:val="fr-LU"/>
        </w:rPr>
        <w:t>il</w:t>
      </w:r>
      <w:proofErr w:type="gramEnd"/>
      <w:r w:rsidR="00415D83" w:rsidRPr="005F55F3">
        <w:rPr>
          <w:rFonts w:ascii="Arial" w:hAnsi="Arial" w:cs="Arial"/>
          <w:sz w:val="24"/>
          <w:szCs w:val="24"/>
          <w:lang w:val="fr-LU"/>
        </w:rPr>
        <w:t xml:space="preserve">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104394A6" w14:textId="5034506C" w:rsidR="001C0C58"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1C0C58">
        <w:rPr>
          <w:rFonts w:ascii="Arial" w:hAnsi="Arial" w:cs="Arial"/>
          <w:sz w:val="24"/>
          <w:szCs w:val="24"/>
          <w:lang w:val="fr-LU"/>
        </w:rPr>
        <w:t>(7)</w:t>
      </w:r>
      <w:r w:rsidR="0086757A" w:rsidRPr="005F55F3">
        <w:rPr>
          <w:rFonts w:ascii="Arial" w:hAnsi="Arial" w:cs="Arial"/>
          <w:sz w:val="24"/>
          <w:szCs w:val="24"/>
          <w:lang w:val="fr-LU"/>
        </w:rPr>
        <w:t>.</w:t>
      </w:r>
    </w:p>
    <w:p w14:paraId="33761C10" w14:textId="08F4016C"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la cession des logements abordables avec leur</w:t>
      </w:r>
      <w:r w:rsidR="00CE69A6" w:rsidRPr="005F55F3">
        <w:rPr>
          <w:rFonts w:ascii="Arial" w:hAnsi="Arial" w:cs="Arial"/>
          <w:sz w:val="24"/>
          <w:szCs w:val="24"/>
          <w:lang w:val="fr-LU"/>
        </w:rPr>
        <w:t xml:space="preserve"> fonds ou</w:t>
      </w:r>
      <w:r w:rsidR="004928C4" w:rsidRPr="005F55F3">
        <w:rPr>
          <w:rFonts w:ascii="Arial" w:hAnsi="Arial" w:cs="Arial"/>
          <w:sz w:val="24"/>
          <w:szCs w:val="24"/>
          <w:lang w:val="fr-LU"/>
        </w:rPr>
        <w:t xml:space="preserve"> quote-part de fonds</w:t>
      </w:r>
      <w:r w:rsidR="001C0C58">
        <w:rPr>
          <w:rFonts w:ascii="Arial" w:hAnsi="Arial" w:cs="Arial"/>
          <w:sz w:val="24"/>
          <w:szCs w:val="24"/>
          <w:lang w:val="fr-LU"/>
        </w:rPr>
        <w:t xml:space="preserve"> </w:t>
      </w:r>
      <w:r w:rsidR="00855F2D">
        <w:rPr>
          <w:rFonts w:ascii="Arial" w:hAnsi="Arial" w:cs="Arial"/>
          <w:sz w:val="24"/>
          <w:szCs w:val="24"/>
          <w:lang w:val="fr-LU"/>
        </w:rPr>
        <w:t>au FDL</w:t>
      </w:r>
      <w:r w:rsidR="001C0C58">
        <w:rPr>
          <w:rFonts w:ascii="Arial" w:hAnsi="Arial" w:cs="Arial"/>
          <w:sz w:val="24"/>
          <w:szCs w:val="24"/>
          <w:lang w:val="fr-LU"/>
        </w:rPr>
        <w:t xml:space="preserve">, suite à la renonciation en ce sens de la commune. </w:t>
      </w:r>
    </w:p>
    <w:p w14:paraId="551F515A" w14:textId="280E4B9A" w:rsidR="00BE690C" w:rsidRPr="005F55F3" w:rsidRDefault="00BE690C"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logements abordables sont cédés </w:t>
      </w:r>
      <w:r w:rsidR="00855F2D">
        <w:rPr>
          <w:rFonts w:ascii="Arial" w:hAnsi="Arial" w:cs="Arial"/>
          <w:sz w:val="24"/>
          <w:szCs w:val="24"/>
          <w:lang w:val="fr-LU"/>
        </w:rPr>
        <w:t>au FDL</w:t>
      </w:r>
      <w:r w:rsidRPr="005F55F3">
        <w:rPr>
          <w:rFonts w:ascii="Arial" w:hAnsi="Arial" w:cs="Arial"/>
          <w:sz w:val="24"/>
          <w:szCs w:val="24"/>
          <w:lang w:val="fr-LU"/>
        </w:rPr>
        <w:t xml:space="preserve"> selon le régime de la vente en état futur d’achèvement, conformément aux articles 1601-1 et suivants du Code civil. Aux termes de l’article 1601-3 du Code civil, la vente en l’état futur d’achèvement est le contrat par lequel le vendeur transfère immédiatement à l’acquéreur ses droits sur le sol ainsi que, le cas échéant, la propriété des constructions existantes. Les ouvrages à venir deviennent la propriété de l’acquéreur au fur et à mesure de l’exécution</w:t>
      </w:r>
      <w:r w:rsidR="009339F4" w:rsidRPr="005F55F3">
        <w:rPr>
          <w:rFonts w:ascii="Arial" w:hAnsi="Arial" w:cs="Arial"/>
          <w:sz w:val="24"/>
          <w:szCs w:val="24"/>
          <w:lang w:val="fr-LU"/>
        </w:rPr>
        <w:t xml:space="preserve"> ; l’acquéreur est tenu d’en payer le prix à mesure de l’avancement des travaux. Le vendeur conserve les pouvoirs de maître de l’ouvrage jusqu’à la réception des travaux.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2FF5326A"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des logements abordables avec leur </w:t>
      </w:r>
      <w:r w:rsidR="00AD0C45" w:rsidRPr="005F55F3">
        <w:rPr>
          <w:rFonts w:ascii="Arial" w:hAnsi="Arial" w:cs="Arial"/>
          <w:sz w:val="24"/>
          <w:szCs w:val="24"/>
          <w:lang w:val="fr-LU"/>
        </w:rPr>
        <w:t xml:space="preserve">fonds ou </w:t>
      </w:r>
      <w:r w:rsidR="004928C4" w:rsidRPr="005F55F3">
        <w:rPr>
          <w:rFonts w:ascii="Arial" w:hAnsi="Arial" w:cs="Arial"/>
          <w:sz w:val="24"/>
          <w:szCs w:val="24"/>
          <w:lang w:val="fr-LU"/>
        </w:rPr>
        <w:t>quote-part de fonds</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proofErr w:type="gramStart"/>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roofErr w:type="gramEnd"/>
      <w:r w:rsidR="005B3A50" w:rsidRPr="005F55F3">
        <w:rPr>
          <w:rFonts w:ascii="Arial" w:hAnsi="Arial" w:cs="Arial"/>
          <w:sz w:val="24"/>
          <w:szCs w:val="24"/>
          <w:lang w:val="fr-LU"/>
        </w:rPr>
        <w:t>…/………</w:t>
      </w:r>
    </w:p>
    <w:p w14:paraId="1D241886" w14:textId="4D222B98" w:rsidR="00172D3D" w:rsidRPr="005F55F3" w:rsidRDefault="00172D3D">
      <w:pPr>
        <w:rPr>
          <w:rFonts w:ascii="Arial" w:hAnsi="Arial" w:cs="Arial"/>
          <w:sz w:val="24"/>
          <w:szCs w:val="24"/>
          <w:lang w:val="fr-LU"/>
        </w:rPr>
      </w:pPr>
    </w:p>
    <w:p w14:paraId="605BC68E" w14:textId="72407FA3" w:rsidR="009A4475" w:rsidRPr="005F55F3" w:rsidRDefault="00153959"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w:t>
      </w:r>
      <w:r w:rsidR="00541B43">
        <w:rPr>
          <w:rFonts w:ascii="Arial" w:hAnsi="Arial" w:cs="Arial"/>
          <w:b/>
          <w:color w:val="5B9BD5" w:themeColor="accent1"/>
          <w:sz w:val="24"/>
          <w:szCs w:val="24"/>
          <w:u w:val="single"/>
          <w:lang w:val="fr-LU"/>
        </w:rPr>
        <w:t>cas de figure :</w:t>
      </w:r>
      <w:r w:rsidR="00541B43" w:rsidRPr="00541B43">
        <w:rPr>
          <w:rFonts w:ascii="Arial" w:hAnsi="Arial" w:cs="Arial"/>
          <w:b/>
          <w:color w:val="5B9BD5" w:themeColor="accent1"/>
          <w:sz w:val="24"/>
          <w:szCs w:val="24"/>
          <w:lang w:val="fr-LU"/>
        </w:rPr>
        <w:t xml:space="preserve"> </w:t>
      </w:r>
      <w:r w:rsidR="00541B43" w:rsidRPr="00541B43">
        <w:rPr>
          <w:rStyle w:val="FootnoteReference"/>
          <w:rFonts w:ascii="Arial" w:hAnsi="Arial" w:cs="Arial"/>
          <w:color w:val="5B9BD5" w:themeColor="accent1"/>
          <w:sz w:val="24"/>
          <w:szCs w:val="24"/>
          <w:lang w:val="fr-LU"/>
        </w:rPr>
        <w:footnoteReference w:id="2"/>
      </w:r>
    </w:p>
    <w:p w14:paraId="3BC7A336" w14:textId="19B1E33D" w:rsidR="007C5AE5" w:rsidRPr="005F55F3" w:rsidRDefault="007C5AE5" w:rsidP="00BF4D12">
      <w:pPr>
        <w:pBdr>
          <w:top w:val="single" w:sz="4" w:space="1" w:color="auto"/>
          <w:left w:val="single" w:sz="4" w:space="1"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 xml:space="preserve">Cession de logements abordables et de </w:t>
      </w:r>
      <w:r w:rsidR="002A2A99" w:rsidRPr="005F55F3">
        <w:rPr>
          <w:rFonts w:ascii="Arial" w:hAnsi="Arial" w:cs="Arial"/>
          <w:color w:val="5B9BD5" w:themeColor="accent1"/>
          <w:sz w:val="24"/>
          <w:szCs w:val="24"/>
          <w:lang w:val="fr-LU"/>
        </w:rPr>
        <w:t xml:space="preserve">leur quote-part de </w:t>
      </w:r>
      <w:r w:rsidRPr="005F55F3">
        <w:rPr>
          <w:rFonts w:ascii="Arial" w:hAnsi="Arial" w:cs="Arial"/>
          <w:color w:val="5B9BD5" w:themeColor="accent1"/>
          <w:sz w:val="24"/>
          <w:szCs w:val="24"/>
          <w:lang w:val="fr-LU"/>
        </w:rPr>
        <w:t>fonds</w:t>
      </w:r>
      <w:r w:rsidR="002A2A99"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 xml:space="preserve"> situés dans une</w:t>
      </w:r>
      <w:r w:rsidR="002A2A99" w:rsidRPr="005F55F3">
        <w:rPr>
          <w:rFonts w:ascii="Arial" w:hAnsi="Arial" w:cs="Arial"/>
          <w:color w:val="5B9BD5" w:themeColor="accent1"/>
          <w:sz w:val="24"/>
          <w:szCs w:val="24"/>
          <w:lang w:val="fr-LU"/>
        </w:rPr>
        <w:t xml:space="preserve"> future</w:t>
      </w:r>
      <w:r w:rsidRPr="005F55F3">
        <w:rPr>
          <w:rFonts w:ascii="Arial" w:hAnsi="Arial" w:cs="Arial"/>
          <w:color w:val="5B9BD5" w:themeColor="accent1"/>
          <w:sz w:val="24"/>
          <w:szCs w:val="24"/>
          <w:lang w:val="fr-LU"/>
        </w:rPr>
        <w:t xml:space="preserve"> </w:t>
      </w:r>
      <w:r w:rsidR="00E11F3D" w:rsidRPr="005F55F3">
        <w:rPr>
          <w:rFonts w:ascii="Arial" w:hAnsi="Arial" w:cs="Arial"/>
          <w:color w:val="5B9BD5" w:themeColor="accent1"/>
          <w:sz w:val="24"/>
          <w:szCs w:val="24"/>
          <w:u w:val="single"/>
          <w:lang w:val="fr-LU"/>
        </w:rPr>
        <w:t>COPROPRIÉTÉ</w:t>
      </w:r>
    </w:p>
    <w:p w14:paraId="74CD266E" w14:textId="5ADA1B91" w:rsidR="007C5AE5" w:rsidRPr="005F55F3" w:rsidRDefault="00153959" w:rsidP="00172D3D">
      <w:pPr>
        <w:spacing w:line="276" w:lineRule="auto"/>
        <w:jc w:val="both"/>
        <w:rPr>
          <w:rFonts w:ascii="Arial" w:hAnsi="Arial" w:cs="Arial"/>
          <w:b/>
          <w:color w:val="5B9BD5" w:themeColor="accent1"/>
          <w:sz w:val="24"/>
          <w:szCs w:val="24"/>
          <w:lang w:val="fr-LU"/>
        </w:rPr>
      </w:pPr>
      <w:r w:rsidRPr="005F55F3">
        <w:rPr>
          <w:rFonts w:ascii="Arial" w:hAnsi="Arial" w:cs="Arial"/>
          <w:b/>
          <w:color w:val="5B9BD5" w:themeColor="accent1"/>
          <w:sz w:val="24"/>
          <w:szCs w:val="24"/>
          <w:lang w:val="fr-LU"/>
        </w:rPr>
        <w:br/>
      </w:r>
      <w:r w:rsidR="007C5AE5" w:rsidRPr="005F55F3">
        <w:rPr>
          <w:rFonts w:ascii="Arial" w:hAnsi="Arial" w:cs="Arial"/>
          <w:b/>
          <w:color w:val="5B9BD5" w:themeColor="accent1"/>
          <w:sz w:val="24"/>
          <w:szCs w:val="24"/>
          <w:lang w:val="fr-LU"/>
        </w:rPr>
        <w:t xml:space="preserve">Article 2. Identification des logements abordables et de leur quote-part de fonds </w:t>
      </w:r>
    </w:p>
    <w:p w14:paraId="7D4845AA" w14:textId="77777777" w:rsidR="007C5AE5" w:rsidRPr="005F55F3" w:rsidRDefault="007C5AE5" w:rsidP="00172D3D">
      <w:pPr>
        <w:pStyle w:val="ListParagraph"/>
        <w:numPr>
          <w:ilvl w:val="0"/>
          <w:numId w:val="5"/>
        </w:numPr>
        <w:spacing w:line="276" w:lineRule="auto"/>
        <w:ind w:left="360"/>
        <w:jc w:val="both"/>
        <w:rPr>
          <w:rFonts w:ascii="Arial" w:hAnsi="Arial" w:cs="Arial"/>
          <w:i/>
          <w:color w:val="5B9BD5" w:themeColor="accent1"/>
          <w:sz w:val="24"/>
          <w:szCs w:val="24"/>
          <w:lang w:val="fr-LU"/>
        </w:rPr>
      </w:pPr>
      <w:r w:rsidRPr="005F55F3">
        <w:rPr>
          <w:rFonts w:ascii="Arial" w:hAnsi="Arial" w:cs="Arial"/>
          <w:i/>
          <w:color w:val="5B9BD5" w:themeColor="accent1"/>
          <w:sz w:val="24"/>
          <w:szCs w:val="24"/>
          <w:lang w:val="fr-LU"/>
        </w:rPr>
        <w:t>Quote-part de fonds</w:t>
      </w:r>
    </w:p>
    <w:p w14:paraId="1A20775C" w14:textId="331062EE" w:rsidR="007C5AE5" w:rsidRPr="005F55F3" w:rsidRDefault="007C5AE5" w:rsidP="00AF6B73">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w:t>
      </w:r>
      <w:r w:rsidR="00352C2A" w:rsidRPr="005F55F3">
        <w:rPr>
          <w:rFonts w:ascii="Arial" w:hAnsi="Arial" w:cs="Arial"/>
          <w:color w:val="5B9BD5" w:themeColor="accent1"/>
          <w:sz w:val="24"/>
          <w:szCs w:val="24"/>
          <w:lang w:val="fr-LU"/>
        </w:rPr>
        <w:t>es</w:t>
      </w:r>
      <w:r w:rsidR="00AF6B73" w:rsidRPr="005F55F3">
        <w:rPr>
          <w:rFonts w:ascii="Arial" w:hAnsi="Arial" w:cs="Arial"/>
          <w:color w:val="5B9BD5" w:themeColor="accent1"/>
          <w:sz w:val="24"/>
          <w:szCs w:val="24"/>
          <w:lang w:val="fr-LU"/>
        </w:rPr>
        <w:t xml:space="preserve"> quote</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-part</w:t>
      </w:r>
      <w:r w:rsidR="0043349D" w:rsidRPr="005F55F3">
        <w:rPr>
          <w:rFonts w:ascii="Arial" w:hAnsi="Arial" w:cs="Arial"/>
          <w:color w:val="5B9BD5" w:themeColor="accent1"/>
          <w:sz w:val="24"/>
          <w:szCs w:val="24"/>
          <w:lang w:val="fr-LU"/>
        </w:rPr>
        <w:t>s</w:t>
      </w:r>
      <w:r w:rsidR="00AF6B73" w:rsidRPr="005F55F3">
        <w:rPr>
          <w:rFonts w:ascii="Arial" w:hAnsi="Arial" w:cs="Arial"/>
          <w:color w:val="5B9BD5" w:themeColor="accent1"/>
          <w:sz w:val="24"/>
          <w:szCs w:val="24"/>
          <w:lang w:val="fr-LU"/>
        </w:rPr>
        <w:t xml:space="preserve"> de</w:t>
      </w:r>
      <w:r w:rsidRPr="005F55F3">
        <w:rPr>
          <w:rFonts w:ascii="Arial" w:hAnsi="Arial" w:cs="Arial"/>
          <w:color w:val="5B9BD5" w:themeColor="accent1"/>
          <w:sz w:val="24"/>
          <w:szCs w:val="24"/>
          <w:lang w:val="fr-LU"/>
        </w:rPr>
        <w:t xml:space="preserve"> fonds concernés par la présente convention</w:t>
      </w:r>
      <w:r w:rsidR="00BB2B6F" w:rsidRPr="005F55F3">
        <w:rPr>
          <w:rFonts w:ascii="Arial" w:hAnsi="Arial" w:cs="Arial"/>
          <w:color w:val="5B9BD5" w:themeColor="accent1"/>
          <w:sz w:val="24"/>
          <w:szCs w:val="24"/>
          <w:lang w:val="fr-LU"/>
        </w:rPr>
        <w:t xml:space="preserve"> se situent dans</w:t>
      </w:r>
      <w:r w:rsidR="00DC3C6A" w:rsidRPr="005F55F3">
        <w:rPr>
          <w:rFonts w:ascii="Arial" w:hAnsi="Arial" w:cs="Arial"/>
          <w:color w:val="5B9BD5" w:themeColor="accent1"/>
          <w:sz w:val="24"/>
          <w:szCs w:val="24"/>
          <w:lang w:val="fr-LU"/>
        </w:rPr>
        <w:t xml:space="preserve"> le ou les l</w:t>
      </w:r>
      <w:r w:rsidR="00AF6B73" w:rsidRPr="005F55F3">
        <w:rPr>
          <w:rFonts w:ascii="Arial" w:hAnsi="Arial" w:cs="Arial"/>
          <w:color w:val="5B9BD5" w:themeColor="accent1"/>
          <w:sz w:val="24"/>
          <w:szCs w:val="24"/>
          <w:lang w:val="fr-LU"/>
        </w:rPr>
        <w:t>ots n° … du PAP précité.</w:t>
      </w:r>
    </w:p>
    <w:p w14:paraId="260D6A0C" w14:textId="70B52391" w:rsidR="007C5AE5" w:rsidRPr="005F55F3" w:rsidRDefault="00BB2B6F" w:rsidP="00172D3D">
      <w:pPr>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Les délimitation et</w:t>
      </w:r>
      <w:r w:rsidR="007C5AE5" w:rsidRPr="005F55F3">
        <w:rPr>
          <w:rFonts w:ascii="Arial" w:hAnsi="Arial" w:cs="Arial"/>
          <w:color w:val="5B9BD5" w:themeColor="accent1"/>
          <w:sz w:val="24"/>
          <w:szCs w:val="24"/>
          <w:lang w:val="fr-LU"/>
        </w:rPr>
        <w:t xml:space="preserve"> contenance exacte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des fonds seront </w:t>
      </w:r>
      <w:r w:rsidR="00AF6B73" w:rsidRPr="005F55F3">
        <w:rPr>
          <w:rFonts w:ascii="Arial" w:hAnsi="Arial" w:cs="Arial"/>
          <w:color w:val="5B9BD5" w:themeColor="accent1"/>
          <w:sz w:val="24"/>
          <w:szCs w:val="24"/>
          <w:lang w:val="fr-LU"/>
        </w:rPr>
        <w:t>précisées</w:t>
      </w:r>
      <w:r w:rsidR="007C5AE5" w:rsidRPr="005F55F3">
        <w:rPr>
          <w:rFonts w:ascii="Arial" w:hAnsi="Arial" w:cs="Arial"/>
          <w:color w:val="5B9BD5" w:themeColor="accent1"/>
          <w:sz w:val="24"/>
          <w:szCs w:val="24"/>
          <w:lang w:val="fr-LU"/>
        </w:rPr>
        <w:t>, le cas échéant, suite au mesurage cadastral par un géomètre officiel.</w:t>
      </w:r>
    </w:p>
    <w:p w14:paraId="520FE2D8" w14:textId="77777777" w:rsidR="001A5316" w:rsidRPr="00142F3E" w:rsidRDefault="00352C2A" w:rsidP="001A5316">
      <w:pPr>
        <w:spacing w:line="276" w:lineRule="auto"/>
        <w:jc w:val="both"/>
        <w:rPr>
          <w:rFonts w:ascii="Arial" w:hAnsi="Arial" w:cs="Arial"/>
          <w:i/>
          <w:color w:val="5B9BD5" w:themeColor="accent1"/>
          <w:sz w:val="24"/>
          <w:szCs w:val="24"/>
          <w:lang w:val="fr-LU"/>
        </w:rPr>
      </w:pPr>
      <w:r w:rsidRPr="005F55F3">
        <w:rPr>
          <w:rFonts w:ascii="Arial" w:hAnsi="Arial" w:cs="Arial"/>
          <w:color w:val="5B9BD5" w:themeColor="accent1"/>
          <w:sz w:val="24"/>
          <w:szCs w:val="24"/>
          <w:lang w:val="fr-LU"/>
        </w:rPr>
        <w:lastRenderedPageBreak/>
        <w:t>Les</w:t>
      </w:r>
      <w:r w:rsidR="007C5AE5" w:rsidRPr="005F55F3">
        <w:rPr>
          <w:rFonts w:ascii="Arial" w:hAnsi="Arial" w:cs="Arial"/>
          <w:color w:val="5B9BD5" w:themeColor="accent1"/>
          <w:sz w:val="24"/>
          <w:szCs w:val="24"/>
          <w:lang w:val="fr-LU"/>
        </w:rPr>
        <w:t xml:space="preserve"> </w:t>
      </w:r>
      <w:r w:rsidR="00DC3C6A" w:rsidRPr="005F55F3">
        <w:rPr>
          <w:rFonts w:ascii="Arial" w:hAnsi="Arial" w:cs="Arial"/>
          <w:color w:val="5B9BD5" w:themeColor="accent1"/>
          <w:sz w:val="24"/>
          <w:szCs w:val="24"/>
          <w:lang w:val="fr-LU"/>
        </w:rPr>
        <w:t>quotes-parts</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précises</w:t>
      </w:r>
      <w:r w:rsidR="00C1246E" w:rsidRPr="005F55F3">
        <w:rPr>
          <w:rFonts w:ascii="Arial" w:hAnsi="Arial" w:cs="Arial"/>
          <w:color w:val="5B9BD5" w:themeColor="accent1"/>
          <w:sz w:val="24"/>
          <w:szCs w:val="24"/>
          <w:lang w:val="fr-LU"/>
        </w:rPr>
        <w:t xml:space="preserve"> dans la </w:t>
      </w:r>
      <w:r w:rsidR="00AF6B73" w:rsidRPr="005F55F3">
        <w:rPr>
          <w:rFonts w:ascii="Arial" w:hAnsi="Arial" w:cs="Arial"/>
          <w:color w:val="5B9BD5" w:themeColor="accent1"/>
          <w:sz w:val="24"/>
          <w:szCs w:val="24"/>
          <w:lang w:val="fr-LU"/>
        </w:rPr>
        <w:t xml:space="preserve">future </w:t>
      </w:r>
      <w:r w:rsidR="00C1246E" w:rsidRPr="005F55F3">
        <w:rPr>
          <w:rFonts w:ascii="Arial" w:hAnsi="Arial" w:cs="Arial"/>
          <w:color w:val="5B9BD5" w:themeColor="accent1"/>
          <w:sz w:val="24"/>
          <w:szCs w:val="24"/>
          <w:lang w:val="fr-LU"/>
        </w:rPr>
        <w:t>copropriété</w:t>
      </w:r>
      <w:r w:rsidR="007C5AE5" w:rsidRPr="005F55F3">
        <w:rPr>
          <w:rFonts w:ascii="Arial" w:hAnsi="Arial" w:cs="Arial"/>
          <w:color w:val="5B9BD5" w:themeColor="accent1"/>
          <w:sz w:val="24"/>
          <w:szCs w:val="24"/>
          <w:lang w:val="fr-LU"/>
        </w:rPr>
        <w:t xml:space="preserve"> </w:t>
      </w:r>
      <w:r w:rsidRPr="005F55F3">
        <w:rPr>
          <w:rFonts w:ascii="Arial" w:hAnsi="Arial" w:cs="Arial"/>
          <w:color w:val="5B9BD5" w:themeColor="accent1"/>
          <w:sz w:val="24"/>
          <w:szCs w:val="24"/>
          <w:lang w:val="fr-LU"/>
        </w:rPr>
        <w:t>seront déterminé</w:t>
      </w:r>
      <w:r w:rsidR="0043508A" w:rsidRPr="005F55F3">
        <w:rPr>
          <w:rFonts w:ascii="Arial" w:hAnsi="Arial" w:cs="Arial"/>
          <w:color w:val="5B9BD5" w:themeColor="accent1"/>
          <w:sz w:val="24"/>
          <w:szCs w:val="24"/>
          <w:lang w:val="fr-LU"/>
        </w:rPr>
        <w:t>e</w:t>
      </w:r>
      <w:r w:rsidRPr="005F55F3">
        <w:rPr>
          <w:rFonts w:ascii="Arial" w:hAnsi="Arial" w:cs="Arial"/>
          <w:color w:val="5B9BD5" w:themeColor="accent1"/>
          <w:sz w:val="24"/>
          <w:szCs w:val="24"/>
          <w:lang w:val="fr-LU"/>
        </w:rPr>
        <w:t>s</w:t>
      </w:r>
      <w:r w:rsidR="007C5AE5" w:rsidRPr="005F55F3">
        <w:rPr>
          <w:rFonts w:ascii="Arial" w:hAnsi="Arial" w:cs="Arial"/>
          <w:color w:val="5B9BD5" w:themeColor="accent1"/>
          <w:sz w:val="24"/>
          <w:szCs w:val="24"/>
          <w:lang w:val="fr-LU"/>
        </w:rPr>
        <w:t xml:space="preserve"> sur base des millièmes </w:t>
      </w:r>
      <w:r w:rsidR="0043508A" w:rsidRPr="005F55F3">
        <w:rPr>
          <w:rFonts w:ascii="Arial" w:hAnsi="Arial" w:cs="Arial"/>
          <w:color w:val="5B9BD5" w:themeColor="accent1"/>
          <w:sz w:val="24"/>
          <w:szCs w:val="24"/>
          <w:lang w:val="fr-LU"/>
        </w:rPr>
        <w:t>issus</w:t>
      </w:r>
      <w:r w:rsidR="007C5AE5" w:rsidRPr="005F55F3">
        <w:rPr>
          <w:rFonts w:ascii="Arial" w:hAnsi="Arial" w:cs="Arial"/>
          <w:color w:val="5B9BD5" w:themeColor="accent1"/>
          <w:sz w:val="24"/>
          <w:szCs w:val="24"/>
          <w:lang w:val="fr-LU"/>
        </w:rPr>
        <w:t xml:space="preserve"> de l’état descr</w:t>
      </w:r>
      <w:r w:rsidR="00C1246E" w:rsidRPr="005F55F3">
        <w:rPr>
          <w:rFonts w:ascii="Arial" w:hAnsi="Arial" w:cs="Arial"/>
          <w:color w:val="5B9BD5" w:themeColor="accent1"/>
          <w:sz w:val="24"/>
          <w:szCs w:val="24"/>
          <w:lang w:val="fr-LU"/>
        </w:rPr>
        <w:t>iptif de division de l’immeuble</w:t>
      </w:r>
      <w:r w:rsidR="0043508A" w:rsidRPr="005F55F3">
        <w:rPr>
          <w:rFonts w:ascii="Arial" w:hAnsi="Arial" w:cs="Arial"/>
          <w:color w:val="5B9BD5" w:themeColor="accent1"/>
          <w:sz w:val="24"/>
          <w:szCs w:val="24"/>
          <w:lang w:val="fr-LU"/>
        </w:rPr>
        <w:t>, établi</w:t>
      </w:r>
      <w:r w:rsidR="00C1246E" w:rsidRPr="005F55F3">
        <w:rPr>
          <w:rFonts w:ascii="Arial" w:hAnsi="Arial" w:cs="Arial"/>
          <w:color w:val="5B9BD5" w:themeColor="accent1"/>
          <w:sz w:val="24"/>
          <w:szCs w:val="24"/>
          <w:lang w:val="fr-LU"/>
        </w:rPr>
        <w:t xml:space="preserve"> lors de la signature de l’acte </w:t>
      </w:r>
      <w:r w:rsidR="0043349D" w:rsidRPr="005F55F3">
        <w:rPr>
          <w:rFonts w:ascii="Arial" w:hAnsi="Arial" w:cs="Arial"/>
          <w:color w:val="5B9BD5" w:themeColor="accent1"/>
          <w:sz w:val="24"/>
          <w:szCs w:val="24"/>
          <w:lang w:val="fr-LU"/>
        </w:rPr>
        <w:t>authentique</w:t>
      </w:r>
      <w:r w:rsidR="00C1246E" w:rsidRPr="005F55F3">
        <w:rPr>
          <w:rFonts w:ascii="Arial" w:hAnsi="Arial" w:cs="Arial"/>
          <w:color w:val="5B9BD5" w:themeColor="accent1"/>
          <w:sz w:val="24"/>
          <w:szCs w:val="24"/>
          <w:lang w:val="fr-LU"/>
        </w:rPr>
        <w:t>.</w:t>
      </w:r>
      <w:r w:rsidR="007C5AE5" w:rsidRPr="005F55F3">
        <w:rPr>
          <w:rFonts w:ascii="Arial" w:hAnsi="Arial" w:cs="Arial"/>
          <w:color w:val="5B9BD5" w:themeColor="accent1"/>
          <w:sz w:val="24"/>
          <w:szCs w:val="24"/>
          <w:lang w:val="fr-LU"/>
        </w:rPr>
        <w:t xml:space="preserve"> </w:t>
      </w:r>
    </w:p>
    <w:p w14:paraId="467E66D7" w14:textId="77777777" w:rsidR="001A5316" w:rsidRPr="00142F3E" w:rsidRDefault="001A5316" w:rsidP="001A5316">
      <w:pPr>
        <w:pStyle w:val="ListParagraph"/>
        <w:numPr>
          <w:ilvl w:val="0"/>
          <w:numId w:val="5"/>
        </w:numPr>
        <w:spacing w:line="276" w:lineRule="auto"/>
        <w:ind w:left="360"/>
        <w:jc w:val="both"/>
        <w:rPr>
          <w:rFonts w:ascii="Arial" w:hAnsi="Arial" w:cs="Arial"/>
          <w:i/>
          <w:color w:val="5B9BD5" w:themeColor="accent1"/>
          <w:sz w:val="24"/>
          <w:szCs w:val="24"/>
          <w:lang w:val="fr-LU"/>
        </w:rPr>
      </w:pPr>
      <w:r w:rsidRPr="00142F3E">
        <w:rPr>
          <w:rFonts w:ascii="Arial" w:hAnsi="Arial" w:cs="Arial"/>
          <w:i/>
          <w:color w:val="5B9BD5" w:themeColor="accent1"/>
          <w:sz w:val="24"/>
          <w:szCs w:val="24"/>
          <w:lang w:val="fr-LU"/>
        </w:rPr>
        <w:t xml:space="preserve">Logements abordables </w:t>
      </w:r>
    </w:p>
    <w:p w14:paraId="7A3C0EEF" w14:textId="31B4851F"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 nombre de logements abordables à réaliser en vertu du PAP précité est de …, représentant une surface construite brute totale de … m</w:t>
      </w:r>
      <w:r w:rsidRPr="00142F3E">
        <w:rPr>
          <w:rFonts w:ascii="Arial" w:hAnsi="Arial" w:cs="Arial"/>
          <w:color w:val="5B9BD5" w:themeColor="accent1"/>
          <w:sz w:val="24"/>
          <w:szCs w:val="24"/>
          <w:vertAlign w:val="superscript"/>
          <w:lang w:val="fr-LU"/>
        </w:rPr>
        <w:t>2</w:t>
      </w:r>
      <w:r w:rsidR="00541B43" w:rsidRPr="00142F3E">
        <w:rPr>
          <w:rFonts w:ascii="Arial" w:hAnsi="Arial" w:cs="Arial"/>
          <w:color w:val="5B9BD5" w:themeColor="accent1"/>
          <w:sz w:val="24"/>
          <w:szCs w:val="24"/>
          <w:lang w:val="fr-LU"/>
        </w:rPr>
        <w:t xml:space="preserve">, correspondant à une surface </w:t>
      </w:r>
      <w:r w:rsidR="00541B43">
        <w:rPr>
          <w:rFonts w:ascii="Arial" w:hAnsi="Arial" w:cs="Arial"/>
          <w:color w:val="5B9BD5" w:themeColor="accent1"/>
          <w:sz w:val="24"/>
          <w:szCs w:val="24"/>
          <w:lang w:val="fr-LU"/>
        </w:rPr>
        <w:t xml:space="preserve">utile d’habitation </w:t>
      </w:r>
      <w:r w:rsidR="00541B43" w:rsidRPr="00142F3E">
        <w:rPr>
          <w:rFonts w:ascii="Arial" w:hAnsi="Arial" w:cs="Arial"/>
          <w:color w:val="5B9BD5" w:themeColor="accent1"/>
          <w:sz w:val="24"/>
          <w:szCs w:val="24"/>
          <w:lang w:val="fr-LU"/>
        </w:rPr>
        <w:t xml:space="preserve">totale de …. </w:t>
      </w:r>
      <w:proofErr w:type="gramStart"/>
      <w:r w:rsidR="00541B43" w:rsidRPr="00142F3E">
        <w:rPr>
          <w:rFonts w:ascii="Arial" w:hAnsi="Arial" w:cs="Arial"/>
          <w:color w:val="5B9BD5" w:themeColor="accent1"/>
          <w:sz w:val="24"/>
          <w:szCs w:val="24"/>
          <w:lang w:val="fr-LU"/>
        </w:rPr>
        <w:t>m</w:t>
      </w:r>
      <w:proofErr w:type="gramEnd"/>
      <w:r w:rsidR="00541B43" w:rsidRPr="00142F3E">
        <w:rPr>
          <w:rFonts w:ascii="Arial" w:hAnsi="Arial" w:cs="Arial"/>
          <w:color w:val="5B9BD5" w:themeColor="accent1"/>
          <w:sz w:val="24"/>
          <w:szCs w:val="24"/>
          <w:vertAlign w:val="superscript"/>
          <w:lang w:val="fr-LU"/>
        </w:rPr>
        <w:t>2</w:t>
      </w:r>
      <w:r w:rsidRPr="00142F3E">
        <w:rPr>
          <w:rFonts w:ascii="Arial" w:hAnsi="Arial" w:cs="Arial"/>
          <w:color w:val="5B9BD5" w:themeColor="accent1"/>
          <w:sz w:val="24"/>
          <w:szCs w:val="24"/>
          <w:lang w:val="fr-LU"/>
        </w:rPr>
        <w:t>, conformément aux plans visés à l’article 8.</w:t>
      </w:r>
    </w:p>
    <w:p w14:paraId="6D15D5F1" w14:textId="1B44266C" w:rsidR="001A5316" w:rsidRPr="00142F3E" w:rsidRDefault="001A5316" w:rsidP="001A5316">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Les lots formant les logements abordables sont repris dans le tableau qui suit. Il est précisé que le calcul de leurs surfaces respectives s’entend :</w:t>
      </w:r>
    </w:p>
    <w:p w14:paraId="79BD66C6" w14:textId="4D251696"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r w:rsidRPr="00F66F10">
        <w:rPr>
          <w:rFonts w:ascii="Arial" w:hAnsi="Arial" w:cs="Arial"/>
          <w:color w:val="5B9BD5" w:themeColor="accent1"/>
          <w:sz w:val="24"/>
          <w:szCs w:val="24"/>
          <w:lang w:val="fr-LU"/>
        </w:rPr>
        <w:t>pour les surfaces utiles d’habitation, selon les définitions du « cahier des char</w:t>
      </w:r>
      <w:r w:rsidR="00EA043D">
        <w:rPr>
          <w:rFonts w:ascii="Arial" w:hAnsi="Arial" w:cs="Arial"/>
          <w:color w:val="5B9BD5" w:themeColor="accent1"/>
          <w:sz w:val="24"/>
          <w:szCs w:val="24"/>
          <w:lang w:val="fr-LU"/>
        </w:rPr>
        <w:t>ges des logements abordables »</w:t>
      </w:r>
      <w:r w:rsidR="00EA043D">
        <w:rPr>
          <w:rStyle w:val="FootnoteReference"/>
          <w:rFonts w:ascii="Arial" w:hAnsi="Arial" w:cs="Arial"/>
          <w:color w:val="5B9BD5" w:themeColor="accent1"/>
          <w:sz w:val="24"/>
          <w:szCs w:val="24"/>
          <w:lang w:val="fr-LU"/>
        </w:rPr>
        <w:footnoteReference w:id="3"/>
      </w:r>
      <w:r w:rsidR="00EA043D">
        <w:rPr>
          <w:rFonts w:ascii="Arial" w:hAnsi="Arial" w:cs="Arial"/>
          <w:color w:val="5B9BD5" w:themeColor="accent1"/>
          <w:sz w:val="24"/>
          <w:szCs w:val="24"/>
          <w:lang w:val="fr-LU"/>
        </w:rPr>
        <w:t>,</w:t>
      </w:r>
    </w:p>
    <w:p w14:paraId="721CAD3E" w14:textId="06F7B109" w:rsidR="001A5316" w:rsidRPr="00F66F10" w:rsidRDefault="001A5316" w:rsidP="00F66F10">
      <w:pPr>
        <w:pStyle w:val="ListParagraph"/>
        <w:numPr>
          <w:ilvl w:val="0"/>
          <w:numId w:val="15"/>
        </w:numPr>
        <w:spacing w:line="276" w:lineRule="auto"/>
        <w:jc w:val="both"/>
        <w:rPr>
          <w:rFonts w:ascii="Arial" w:hAnsi="Arial" w:cs="Arial"/>
          <w:color w:val="5B9BD5" w:themeColor="accent1"/>
          <w:sz w:val="24"/>
          <w:szCs w:val="24"/>
          <w:lang w:val="fr-LU"/>
        </w:rPr>
      </w:pPr>
      <w:proofErr w:type="gramStart"/>
      <w:r w:rsidRPr="00F66F10">
        <w:rPr>
          <w:rFonts w:ascii="Arial" w:hAnsi="Arial" w:cs="Arial"/>
          <w:color w:val="5B9BD5" w:themeColor="accent1"/>
          <w:sz w:val="24"/>
          <w:szCs w:val="24"/>
          <w:lang w:val="fr-LU"/>
        </w:rPr>
        <w:t>pour</w:t>
      </w:r>
      <w:proofErr w:type="gramEnd"/>
      <w:r w:rsidRPr="00F66F10">
        <w:rPr>
          <w:rFonts w:ascii="Arial" w:hAnsi="Arial" w:cs="Arial"/>
          <w:color w:val="5B9BD5" w:themeColor="accent1"/>
          <w:sz w:val="24"/>
          <w:szCs w:val="24"/>
          <w:lang w:val="fr-LU"/>
        </w:rPr>
        <w:t xml:space="preserve"> les surfaces accessoires, selon la norme n°101:2016 de l'Institut luxembourgeois de la normalisation, de l'accréditation, de la sécurité et qualité des produits et services </w:t>
      </w:r>
      <w:r w:rsidR="00EA043D">
        <w:rPr>
          <w:rFonts w:ascii="Arial" w:hAnsi="Arial" w:cs="Arial"/>
          <w:color w:val="5B9BD5" w:themeColor="accent1"/>
          <w:sz w:val="24"/>
          <w:szCs w:val="24"/>
          <w:lang w:val="fr-LU"/>
        </w:rPr>
        <w:t>(ILNAS).</w:t>
      </w:r>
    </w:p>
    <w:tbl>
      <w:tblPr>
        <w:tblStyle w:val="TableGrid"/>
        <w:tblW w:w="9067" w:type="dxa"/>
        <w:tblLook w:val="04A0" w:firstRow="1" w:lastRow="0" w:firstColumn="1" w:lastColumn="0" w:noHBand="0" w:noVBand="1"/>
      </w:tblPr>
      <w:tblGrid>
        <w:gridCol w:w="1555"/>
        <w:gridCol w:w="992"/>
        <w:gridCol w:w="1134"/>
        <w:gridCol w:w="1984"/>
        <w:gridCol w:w="1134"/>
        <w:gridCol w:w="993"/>
        <w:gridCol w:w="1275"/>
      </w:tblGrid>
      <w:tr w:rsidR="00F66F10" w:rsidRPr="00142F3E" w14:paraId="24F97226" w14:textId="14323130" w:rsidTr="00EA043D">
        <w:tc>
          <w:tcPr>
            <w:tcW w:w="1555" w:type="dxa"/>
          </w:tcPr>
          <w:p w14:paraId="15DF8653" w14:textId="77777777" w:rsidR="00F66F10" w:rsidRPr="00142F3E" w:rsidRDefault="00F66F10" w:rsidP="005611AD">
            <w:pPr>
              <w:spacing w:line="276" w:lineRule="auto"/>
              <w:jc w:val="both"/>
              <w:rPr>
                <w:rFonts w:ascii="Arial" w:hAnsi="Arial" w:cs="Arial"/>
                <w:b/>
                <w:color w:val="5B9BD5" w:themeColor="accent1"/>
                <w:sz w:val="24"/>
                <w:szCs w:val="24"/>
                <w:lang w:val="fr-LU"/>
              </w:rPr>
            </w:pPr>
          </w:p>
        </w:tc>
        <w:tc>
          <w:tcPr>
            <w:tcW w:w="2126" w:type="dxa"/>
            <w:gridSpan w:val="2"/>
          </w:tcPr>
          <w:p w14:paraId="4C3AF74A"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utiles </w:t>
            </w:r>
          </w:p>
          <w:p w14:paraId="3B30D526" w14:textId="233891B8"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d’habitation </w:t>
            </w:r>
          </w:p>
        </w:tc>
        <w:tc>
          <w:tcPr>
            <w:tcW w:w="3118" w:type="dxa"/>
            <w:gridSpan w:val="2"/>
          </w:tcPr>
          <w:p w14:paraId="28DEF580" w14:textId="77777777" w:rsidR="00F66F10"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 xml:space="preserve">Surfaces accessoires </w:t>
            </w:r>
          </w:p>
          <w:p w14:paraId="5B6DF915" w14:textId="22E0E5DC"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color w:val="5B9BD5" w:themeColor="accent1"/>
                <w:sz w:val="18"/>
                <w:szCs w:val="18"/>
                <w:lang w:val="fr-LU"/>
              </w:rPr>
              <w:t>(exemplatives)</w:t>
            </w:r>
          </w:p>
        </w:tc>
        <w:tc>
          <w:tcPr>
            <w:tcW w:w="2268" w:type="dxa"/>
            <w:gridSpan w:val="2"/>
          </w:tcPr>
          <w:p w14:paraId="6495B1D6" w14:textId="32938865" w:rsidR="00F66F10" w:rsidRPr="00142F3E" w:rsidRDefault="00F66F10" w:rsidP="005611AD">
            <w:pPr>
              <w:spacing w:line="276" w:lineRule="auto"/>
              <w:jc w:val="both"/>
              <w:rPr>
                <w:rFonts w:ascii="Arial" w:hAnsi="Arial" w:cs="Arial"/>
                <w:b/>
                <w:color w:val="5B9BD5" w:themeColor="accent1"/>
                <w:sz w:val="24"/>
                <w:szCs w:val="24"/>
                <w:lang w:val="fr-LU"/>
              </w:rPr>
            </w:pPr>
            <w:r>
              <w:rPr>
                <w:rFonts w:ascii="Arial" w:hAnsi="Arial" w:cs="Arial"/>
                <w:b/>
                <w:color w:val="5B9BD5" w:themeColor="accent1"/>
                <w:sz w:val="24"/>
                <w:szCs w:val="24"/>
                <w:lang w:val="fr-LU"/>
              </w:rPr>
              <w:t>Surfaces communes</w:t>
            </w:r>
          </w:p>
        </w:tc>
      </w:tr>
      <w:tr w:rsidR="00F66F10" w:rsidRPr="00142F3E" w14:paraId="1FEC0D12" w14:textId="5DD44FCF" w:rsidTr="00EA043D">
        <w:tc>
          <w:tcPr>
            <w:tcW w:w="1555" w:type="dxa"/>
          </w:tcPr>
          <w:p w14:paraId="109CD547"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1</w:t>
            </w:r>
          </w:p>
        </w:tc>
        <w:tc>
          <w:tcPr>
            <w:tcW w:w="992" w:type="dxa"/>
          </w:tcPr>
          <w:p w14:paraId="6BAEC47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2AB48BA9" w14:textId="567716EE"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B5E984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(parking)</w:t>
            </w:r>
          </w:p>
        </w:tc>
        <w:tc>
          <w:tcPr>
            <w:tcW w:w="1134" w:type="dxa"/>
          </w:tcPr>
          <w:p w14:paraId="2705ADDF" w14:textId="1C938C72"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6DC8FC77" w14:textId="0BA444C5"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350695B6" w14:textId="1F0CDD52" w:rsidR="00F66F10" w:rsidRPr="00F66F10" w:rsidRDefault="00F66F10" w:rsidP="005611AD">
            <w:pPr>
              <w:spacing w:line="276" w:lineRule="auto"/>
              <w:jc w:val="both"/>
              <w:rPr>
                <w:rFonts w:ascii="Arial" w:hAnsi="Arial" w:cs="Arial"/>
                <w:color w:val="5B9BD5" w:themeColor="accent1"/>
                <w:sz w:val="24"/>
                <w:szCs w:val="24"/>
                <w:vertAlign w:val="superscript"/>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2A3CF016" w14:textId="58AA34F7" w:rsidTr="00EA043D">
        <w:tc>
          <w:tcPr>
            <w:tcW w:w="1555" w:type="dxa"/>
            <w:vMerge w:val="restart"/>
          </w:tcPr>
          <w:p w14:paraId="3DBE22D6" w14:textId="77777777" w:rsidR="00F66F10" w:rsidRPr="00142F3E" w:rsidRDefault="00F66F10" w:rsidP="005611AD">
            <w:pPr>
              <w:spacing w:line="276" w:lineRule="auto"/>
              <w:jc w:val="both"/>
              <w:rPr>
                <w:rFonts w:ascii="Arial" w:hAnsi="Arial" w:cs="Arial"/>
                <w:color w:val="5B9BD5" w:themeColor="accent1"/>
                <w:sz w:val="24"/>
                <w:szCs w:val="24"/>
                <w:lang w:val="fr-LU"/>
              </w:rPr>
            </w:pPr>
          </w:p>
        </w:tc>
        <w:tc>
          <w:tcPr>
            <w:tcW w:w="992" w:type="dxa"/>
          </w:tcPr>
          <w:p w14:paraId="424B4788"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w:t>
            </w:r>
          </w:p>
        </w:tc>
        <w:tc>
          <w:tcPr>
            <w:tcW w:w="1134" w:type="dxa"/>
          </w:tcPr>
          <w:p w14:paraId="5D03F370" w14:textId="7E89637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7B9EF104"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Lot … (balcon)</w:t>
            </w:r>
          </w:p>
        </w:tc>
        <w:tc>
          <w:tcPr>
            <w:tcW w:w="1134" w:type="dxa"/>
          </w:tcPr>
          <w:p w14:paraId="1B9124C9" w14:textId="0FEACBF4"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2E6FC8C2" w14:textId="53E9568B"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4BEDD5F" w14:textId="436483E1"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48B41E9F" w14:textId="793F3FBA" w:rsidTr="00EA043D">
        <w:tc>
          <w:tcPr>
            <w:tcW w:w="1555" w:type="dxa"/>
            <w:vMerge/>
          </w:tcPr>
          <w:p w14:paraId="7ED35740"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0CC73B99"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52460E1C" w14:textId="1CA25E3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6498247B"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(cave)</w:t>
            </w:r>
          </w:p>
        </w:tc>
        <w:tc>
          <w:tcPr>
            <w:tcW w:w="1134" w:type="dxa"/>
          </w:tcPr>
          <w:p w14:paraId="3BBC7A7F" w14:textId="57D10529"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30B46273" w14:textId="22164BC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0A7CC7F2" w14:textId="6E680965"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62750F61" w14:textId="700F4EAD" w:rsidTr="00EA043D">
        <w:tc>
          <w:tcPr>
            <w:tcW w:w="1555" w:type="dxa"/>
            <w:vMerge/>
          </w:tcPr>
          <w:p w14:paraId="4107945A"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5AD30B5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w:t>
            </w:r>
          </w:p>
        </w:tc>
        <w:tc>
          <w:tcPr>
            <w:tcW w:w="1134" w:type="dxa"/>
          </w:tcPr>
          <w:p w14:paraId="6D6645B1" w14:textId="7CA05AF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1984" w:type="dxa"/>
          </w:tcPr>
          <w:p w14:paraId="078C8FA4"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Lot … (jardin)</w:t>
            </w:r>
          </w:p>
        </w:tc>
        <w:tc>
          <w:tcPr>
            <w:tcW w:w="1134" w:type="dxa"/>
          </w:tcPr>
          <w:p w14:paraId="366F2F44" w14:textId="7E03106C"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c>
          <w:tcPr>
            <w:tcW w:w="993" w:type="dxa"/>
          </w:tcPr>
          <w:p w14:paraId="41848B61" w14:textId="65CDC697"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Lot …</w:t>
            </w:r>
          </w:p>
        </w:tc>
        <w:tc>
          <w:tcPr>
            <w:tcW w:w="1275" w:type="dxa"/>
          </w:tcPr>
          <w:p w14:paraId="164A32CB" w14:textId="07767A53"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 m</w:t>
            </w:r>
            <w:r>
              <w:rPr>
                <w:rFonts w:ascii="Arial" w:hAnsi="Arial" w:cs="Arial"/>
                <w:color w:val="5B9BD5" w:themeColor="accent1"/>
                <w:sz w:val="24"/>
                <w:szCs w:val="24"/>
                <w:vertAlign w:val="superscript"/>
                <w:lang w:val="fr-LU"/>
              </w:rPr>
              <w:t>2</w:t>
            </w:r>
          </w:p>
        </w:tc>
      </w:tr>
      <w:tr w:rsidR="00F66F10" w:rsidRPr="00142F3E" w14:paraId="1E6F6785" w14:textId="378B579C" w:rsidTr="00EA043D">
        <w:tc>
          <w:tcPr>
            <w:tcW w:w="1555" w:type="dxa"/>
            <w:vMerge/>
          </w:tcPr>
          <w:p w14:paraId="3FDBE79C" w14:textId="77777777" w:rsidR="00F66F10" w:rsidRPr="005611AD" w:rsidRDefault="00F66F10" w:rsidP="005611AD">
            <w:pPr>
              <w:spacing w:line="276" w:lineRule="auto"/>
              <w:jc w:val="both"/>
              <w:rPr>
                <w:rFonts w:ascii="Arial" w:hAnsi="Arial" w:cs="Arial"/>
                <w:color w:val="5B9BD5" w:themeColor="accent1"/>
                <w:sz w:val="24"/>
                <w:szCs w:val="24"/>
                <w:lang w:val="fr-LU"/>
              </w:rPr>
            </w:pPr>
          </w:p>
        </w:tc>
        <w:tc>
          <w:tcPr>
            <w:tcW w:w="992" w:type="dxa"/>
          </w:tcPr>
          <w:p w14:paraId="725130AC"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2FC530FE"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984" w:type="dxa"/>
          </w:tcPr>
          <w:p w14:paraId="3AF55983"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1134" w:type="dxa"/>
          </w:tcPr>
          <w:p w14:paraId="7177DD3D" w14:textId="77777777" w:rsidR="00F66F10" w:rsidRPr="005611AD" w:rsidRDefault="00F66F10" w:rsidP="005611AD">
            <w:pPr>
              <w:spacing w:line="276" w:lineRule="auto"/>
              <w:jc w:val="both"/>
              <w:rPr>
                <w:rFonts w:ascii="Arial" w:hAnsi="Arial" w:cs="Arial"/>
                <w:color w:val="5B9BD5" w:themeColor="accent1"/>
                <w:sz w:val="24"/>
                <w:szCs w:val="24"/>
                <w:lang w:val="fr-LU"/>
              </w:rPr>
            </w:pPr>
            <w:r w:rsidRPr="005611AD">
              <w:rPr>
                <w:rFonts w:ascii="Arial" w:hAnsi="Arial" w:cs="Arial"/>
                <w:color w:val="5B9BD5" w:themeColor="accent1"/>
                <w:sz w:val="24"/>
                <w:szCs w:val="24"/>
                <w:lang w:val="fr-LU"/>
              </w:rPr>
              <w:t xml:space="preserve">Etc. </w:t>
            </w:r>
          </w:p>
        </w:tc>
        <w:tc>
          <w:tcPr>
            <w:tcW w:w="993" w:type="dxa"/>
          </w:tcPr>
          <w:p w14:paraId="2FA87F1F" w14:textId="32FBEE86"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77ACC88C" w14:textId="30F09BA8" w:rsidR="00F66F10" w:rsidRPr="005611AD"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r w:rsidR="00F66F10" w:rsidRPr="00142F3E" w14:paraId="62F4FD2F" w14:textId="3A968AA3" w:rsidTr="00EA043D">
        <w:tc>
          <w:tcPr>
            <w:tcW w:w="1555" w:type="dxa"/>
          </w:tcPr>
          <w:p w14:paraId="32E3249F" w14:textId="77777777" w:rsidR="00F66F10" w:rsidRPr="00142F3E" w:rsidRDefault="00F66F10" w:rsidP="005611AD">
            <w:pPr>
              <w:spacing w:line="276" w:lineRule="auto"/>
              <w:jc w:val="both"/>
              <w:rPr>
                <w:rFonts w:ascii="Arial" w:hAnsi="Arial" w:cs="Arial"/>
                <w:b/>
                <w:color w:val="5B9BD5" w:themeColor="accent1"/>
                <w:sz w:val="24"/>
                <w:szCs w:val="24"/>
                <w:lang w:val="fr-LU"/>
              </w:rPr>
            </w:pPr>
            <w:r w:rsidRPr="00142F3E">
              <w:rPr>
                <w:rFonts w:ascii="Arial" w:hAnsi="Arial" w:cs="Arial"/>
                <w:b/>
                <w:color w:val="5B9BD5" w:themeColor="accent1"/>
                <w:sz w:val="24"/>
                <w:szCs w:val="24"/>
                <w:lang w:val="fr-LU"/>
              </w:rPr>
              <w:t>Logement 2</w:t>
            </w:r>
          </w:p>
        </w:tc>
        <w:tc>
          <w:tcPr>
            <w:tcW w:w="992" w:type="dxa"/>
          </w:tcPr>
          <w:p w14:paraId="4F00B04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6878007D"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984" w:type="dxa"/>
          </w:tcPr>
          <w:p w14:paraId="5EB7B40B"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1134" w:type="dxa"/>
          </w:tcPr>
          <w:p w14:paraId="4882F4C5" w14:textId="77777777" w:rsidR="00F66F10" w:rsidRPr="00142F3E" w:rsidRDefault="00F66F10" w:rsidP="005611AD">
            <w:pPr>
              <w:spacing w:line="276" w:lineRule="auto"/>
              <w:jc w:val="both"/>
              <w:rPr>
                <w:rFonts w:ascii="Arial" w:hAnsi="Arial" w:cs="Arial"/>
                <w:color w:val="5B9BD5" w:themeColor="accent1"/>
                <w:sz w:val="24"/>
                <w:szCs w:val="24"/>
                <w:lang w:val="fr-LU"/>
              </w:rPr>
            </w:pPr>
            <w:r w:rsidRPr="00142F3E">
              <w:rPr>
                <w:rFonts w:ascii="Arial" w:hAnsi="Arial" w:cs="Arial"/>
                <w:color w:val="5B9BD5" w:themeColor="accent1"/>
                <w:sz w:val="24"/>
                <w:szCs w:val="24"/>
                <w:lang w:val="fr-LU"/>
              </w:rPr>
              <w:t xml:space="preserve">Etc. </w:t>
            </w:r>
          </w:p>
        </w:tc>
        <w:tc>
          <w:tcPr>
            <w:tcW w:w="993" w:type="dxa"/>
          </w:tcPr>
          <w:p w14:paraId="04ADE2CC" w14:textId="3EEA4A0F"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c>
          <w:tcPr>
            <w:tcW w:w="1275" w:type="dxa"/>
          </w:tcPr>
          <w:p w14:paraId="3C5158B8" w14:textId="44AB076D" w:rsidR="00F66F10" w:rsidRPr="00142F3E" w:rsidRDefault="00F66F10" w:rsidP="005611AD">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Etc.</w:t>
            </w:r>
          </w:p>
        </w:tc>
      </w:tr>
    </w:tbl>
    <w:p w14:paraId="0F7445EE" w14:textId="4F8A3B45" w:rsidR="00911ADD" w:rsidRPr="00E47DE9" w:rsidRDefault="00EE2C15" w:rsidP="001A5316">
      <w:pPr>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br/>
      </w:r>
    </w:p>
    <w:p w14:paraId="25E2C614" w14:textId="04DCFD04" w:rsidR="009A4475" w:rsidRPr="00E47DE9" w:rsidRDefault="00153959"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70AD47" w:themeColor="accent6"/>
          <w:sz w:val="24"/>
          <w:szCs w:val="24"/>
          <w:u w:val="single"/>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sidR="009A4475" w:rsidRPr="00E47DE9">
        <w:rPr>
          <w:rFonts w:ascii="Arial" w:hAnsi="Arial" w:cs="Arial"/>
          <w:b/>
          <w:color w:val="70AD47" w:themeColor="accent6"/>
          <w:sz w:val="24"/>
          <w:szCs w:val="24"/>
          <w:u w:val="single"/>
          <w:lang w:val="fr-LU"/>
        </w:rPr>
        <w:t xml:space="preserve">cas de figure : </w:t>
      </w:r>
    </w:p>
    <w:p w14:paraId="1A4AC868" w14:textId="7509D376" w:rsidR="007C5AE5" w:rsidRPr="00E47DE9" w:rsidRDefault="007C5AE5" w:rsidP="001539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u w:val="single"/>
          <w:lang w:val="fr-LU"/>
        </w:rPr>
      </w:pPr>
      <w:r w:rsidRPr="00E47DE9">
        <w:rPr>
          <w:rFonts w:ascii="Arial" w:hAnsi="Arial" w:cs="Arial"/>
          <w:color w:val="70AD47" w:themeColor="accent6"/>
          <w:sz w:val="24"/>
          <w:szCs w:val="24"/>
          <w:lang w:val="fr-LU"/>
        </w:rPr>
        <w:t>Cession de logements abordables et de fond</w:t>
      </w:r>
      <w:r w:rsidR="00DC3C6A" w:rsidRPr="00E47DE9">
        <w:rPr>
          <w:rFonts w:ascii="Arial" w:hAnsi="Arial" w:cs="Arial"/>
          <w:color w:val="70AD47" w:themeColor="accent6"/>
          <w:sz w:val="24"/>
          <w:szCs w:val="24"/>
          <w:lang w:val="fr-LU"/>
        </w:rPr>
        <w:t xml:space="preserve">s </w:t>
      </w:r>
      <w:r w:rsidR="00DC3C6A" w:rsidRPr="00E47DE9">
        <w:rPr>
          <w:rFonts w:ascii="Arial" w:hAnsi="Arial" w:cs="Arial"/>
          <w:color w:val="70AD47" w:themeColor="accent6"/>
          <w:sz w:val="24"/>
          <w:szCs w:val="24"/>
          <w:u w:val="single"/>
          <w:lang w:val="fr-LU"/>
        </w:rPr>
        <w:t xml:space="preserve">NON </w:t>
      </w:r>
      <w:r w:rsidR="00017C31">
        <w:rPr>
          <w:rFonts w:ascii="Arial" w:hAnsi="Arial" w:cs="Arial"/>
          <w:color w:val="70AD47" w:themeColor="accent6"/>
          <w:sz w:val="24"/>
          <w:szCs w:val="24"/>
          <w:u w:val="single"/>
          <w:lang w:val="fr-LU"/>
        </w:rPr>
        <w:t>SITUÉS</w:t>
      </w:r>
      <w:r w:rsidR="00D4414D">
        <w:rPr>
          <w:rFonts w:ascii="Arial" w:hAnsi="Arial" w:cs="Arial"/>
          <w:color w:val="70AD47" w:themeColor="accent6"/>
          <w:sz w:val="24"/>
          <w:szCs w:val="24"/>
          <w:u w:val="single"/>
          <w:lang w:val="fr-LU"/>
        </w:rPr>
        <w:t xml:space="preserve"> DANS</w:t>
      </w:r>
      <w:r w:rsidR="00E11F3D" w:rsidRPr="00E47DE9">
        <w:rPr>
          <w:rFonts w:ascii="Arial" w:hAnsi="Arial" w:cs="Arial"/>
          <w:color w:val="70AD47" w:themeColor="accent6"/>
          <w:sz w:val="24"/>
          <w:szCs w:val="24"/>
          <w:u w:val="single"/>
          <w:lang w:val="fr-LU"/>
        </w:rPr>
        <w:t xml:space="preserve"> UNE</w:t>
      </w:r>
      <w:r w:rsidR="00DC3C6A" w:rsidRPr="00E47DE9">
        <w:rPr>
          <w:rFonts w:ascii="Arial" w:hAnsi="Arial" w:cs="Arial"/>
          <w:color w:val="70AD47" w:themeColor="accent6"/>
          <w:sz w:val="24"/>
          <w:szCs w:val="24"/>
          <w:u w:val="single"/>
          <w:lang w:val="fr-LU"/>
        </w:rPr>
        <w:t xml:space="preserve"> COPROPRIÉTÉ</w:t>
      </w:r>
    </w:p>
    <w:p w14:paraId="41F706B0" w14:textId="447E5CFE" w:rsidR="007C5AE5" w:rsidRPr="00E47DE9" w:rsidRDefault="00153959" w:rsidP="00172D3D">
      <w:pPr>
        <w:spacing w:line="276" w:lineRule="auto"/>
        <w:jc w:val="both"/>
        <w:rPr>
          <w:rFonts w:ascii="Arial" w:hAnsi="Arial" w:cs="Arial"/>
          <w:b/>
          <w:color w:val="70AD47" w:themeColor="accent6"/>
          <w:sz w:val="24"/>
          <w:szCs w:val="24"/>
          <w:lang w:val="fr-LU"/>
        </w:rPr>
      </w:pPr>
      <w:r w:rsidRPr="00E47DE9">
        <w:rPr>
          <w:rFonts w:ascii="Arial" w:hAnsi="Arial" w:cs="Arial"/>
          <w:b/>
          <w:color w:val="70AD47" w:themeColor="accent6"/>
          <w:sz w:val="24"/>
          <w:szCs w:val="24"/>
          <w:lang w:val="fr-LU"/>
        </w:rPr>
        <w:br/>
      </w:r>
      <w:r w:rsidR="007C5AE5" w:rsidRPr="00E47DE9">
        <w:rPr>
          <w:rFonts w:ascii="Arial" w:hAnsi="Arial" w:cs="Arial"/>
          <w:b/>
          <w:color w:val="70AD47" w:themeColor="accent6"/>
          <w:sz w:val="24"/>
          <w:szCs w:val="24"/>
          <w:lang w:val="fr-LU"/>
        </w:rPr>
        <w:t>Article 2. Identification des logements abordables et de leurs fonds</w:t>
      </w:r>
    </w:p>
    <w:p w14:paraId="3CC85DA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Fonds</w:t>
      </w:r>
    </w:p>
    <w:p w14:paraId="4422DCAD" w14:textId="412038BA" w:rsidR="00C862B0" w:rsidRPr="00E47DE9" w:rsidRDefault="00C862B0" w:rsidP="00E11F3D">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Les fonds concernés par la présente convention forment le ou le</w:t>
      </w:r>
      <w:r w:rsidR="00E11F3D" w:rsidRPr="00E47DE9">
        <w:rPr>
          <w:rFonts w:ascii="Arial" w:hAnsi="Arial" w:cs="Arial"/>
          <w:color w:val="70AD47" w:themeColor="accent6"/>
          <w:sz w:val="24"/>
          <w:szCs w:val="24"/>
          <w:lang w:val="fr-LU"/>
        </w:rPr>
        <w:t>s lots n° … du PAP précité.</w:t>
      </w:r>
    </w:p>
    <w:p w14:paraId="0878B04B" w14:textId="07F04BAD" w:rsidR="00C862B0" w:rsidRPr="00E47DE9" w:rsidRDefault="00BB2B6F" w:rsidP="00C862B0">
      <w:pPr>
        <w:spacing w:line="276" w:lineRule="auto"/>
        <w:jc w:val="both"/>
        <w:rPr>
          <w:rFonts w:ascii="Arial" w:hAnsi="Arial" w:cs="Arial"/>
          <w:color w:val="70AD47" w:themeColor="accent6"/>
          <w:sz w:val="24"/>
          <w:szCs w:val="24"/>
          <w:lang w:val="fr-LU"/>
        </w:rPr>
      </w:pPr>
      <w:r w:rsidRPr="00E47DE9">
        <w:rPr>
          <w:rFonts w:ascii="Arial" w:hAnsi="Arial" w:cs="Arial"/>
          <w:color w:val="70AD47" w:themeColor="accent6"/>
          <w:sz w:val="24"/>
          <w:szCs w:val="24"/>
          <w:lang w:val="fr-LU"/>
        </w:rPr>
        <w:t xml:space="preserve">Les délimitation et </w:t>
      </w:r>
      <w:r w:rsidR="00C862B0" w:rsidRPr="00E47DE9">
        <w:rPr>
          <w:rFonts w:ascii="Arial" w:hAnsi="Arial" w:cs="Arial"/>
          <w:color w:val="70AD47" w:themeColor="accent6"/>
          <w:sz w:val="24"/>
          <w:szCs w:val="24"/>
          <w:lang w:val="fr-LU"/>
        </w:rPr>
        <w:t>contenance exacte</w:t>
      </w:r>
      <w:r w:rsidRPr="00E47DE9">
        <w:rPr>
          <w:rFonts w:ascii="Arial" w:hAnsi="Arial" w:cs="Arial"/>
          <w:color w:val="70AD47" w:themeColor="accent6"/>
          <w:sz w:val="24"/>
          <w:szCs w:val="24"/>
          <w:lang w:val="fr-LU"/>
        </w:rPr>
        <w:t>s</w:t>
      </w:r>
      <w:r w:rsidR="00C862B0" w:rsidRPr="00E47DE9">
        <w:rPr>
          <w:rFonts w:ascii="Arial" w:hAnsi="Arial" w:cs="Arial"/>
          <w:color w:val="70AD47" w:themeColor="accent6"/>
          <w:sz w:val="24"/>
          <w:szCs w:val="24"/>
          <w:lang w:val="fr-LU"/>
        </w:rPr>
        <w:t xml:space="preserve"> des fonds seront </w:t>
      </w:r>
      <w:r w:rsidR="00E11F3D" w:rsidRPr="00E47DE9">
        <w:rPr>
          <w:rFonts w:ascii="Arial" w:hAnsi="Arial" w:cs="Arial"/>
          <w:color w:val="70AD47" w:themeColor="accent6"/>
          <w:sz w:val="24"/>
          <w:szCs w:val="24"/>
          <w:lang w:val="fr-LU"/>
        </w:rPr>
        <w:t>précisées</w:t>
      </w:r>
      <w:r w:rsidR="00C862B0" w:rsidRPr="00E47DE9">
        <w:rPr>
          <w:rFonts w:ascii="Arial" w:hAnsi="Arial" w:cs="Arial"/>
          <w:color w:val="70AD47" w:themeColor="accent6"/>
          <w:sz w:val="24"/>
          <w:szCs w:val="24"/>
          <w:lang w:val="fr-LU"/>
        </w:rPr>
        <w:t>, le cas échéant, suite au mesurage cadastral par un géomètre officiel.</w:t>
      </w:r>
    </w:p>
    <w:p w14:paraId="4E8B2A79" w14:textId="77777777" w:rsidR="007C5AE5" w:rsidRPr="00E47DE9" w:rsidRDefault="007C5AE5" w:rsidP="00172D3D">
      <w:pPr>
        <w:pStyle w:val="ListParagraph"/>
        <w:numPr>
          <w:ilvl w:val="0"/>
          <w:numId w:val="6"/>
        </w:numPr>
        <w:spacing w:line="276" w:lineRule="auto"/>
        <w:ind w:left="360"/>
        <w:jc w:val="both"/>
        <w:rPr>
          <w:rFonts w:ascii="Arial" w:hAnsi="Arial" w:cs="Arial"/>
          <w:i/>
          <w:color w:val="70AD47" w:themeColor="accent6"/>
          <w:sz w:val="24"/>
          <w:szCs w:val="24"/>
          <w:lang w:val="fr-LU"/>
        </w:rPr>
      </w:pPr>
      <w:r w:rsidRPr="00E47DE9">
        <w:rPr>
          <w:rFonts w:ascii="Arial" w:hAnsi="Arial" w:cs="Arial"/>
          <w:i/>
          <w:color w:val="70AD47" w:themeColor="accent6"/>
          <w:sz w:val="24"/>
          <w:szCs w:val="24"/>
          <w:lang w:val="fr-LU"/>
        </w:rPr>
        <w:t xml:space="preserve">Logements abordables </w:t>
      </w:r>
    </w:p>
    <w:p w14:paraId="545CA0F4" w14:textId="05025F02" w:rsidR="0019435E" w:rsidRPr="0019435E" w:rsidRDefault="0019435E" w:rsidP="0019435E">
      <w:pPr>
        <w:spacing w:line="276" w:lineRule="auto"/>
        <w:jc w:val="both"/>
        <w:rPr>
          <w:rFonts w:ascii="Arial" w:hAnsi="Arial" w:cs="Arial"/>
          <w:color w:val="70AD47" w:themeColor="accent6"/>
          <w:sz w:val="24"/>
          <w:szCs w:val="24"/>
          <w:lang w:val="fr-LU"/>
        </w:rPr>
      </w:pPr>
      <w:r w:rsidRPr="0019435E">
        <w:rPr>
          <w:rFonts w:ascii="Arial" w:hAnsi="Arial" w:cs="Arial"/>
          <w:color w:val="70AD47" w:themeColor="accent6"/>
          <w:sz w:val="24"/>
          <w:szCs w:val="24"/>
          <w:lang w:val="fr-LU"/>
        </w:rPr>
        <w:lastRenderedPageBreak/>
        <w:t>Le nombre de logements abordables à réaliser en vertu du PAP précité est de …, représentant une surface construite brute totale de … m</w:t>
      </w:r>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xml:space="preserve">, correspondant à une surface utile d’habitation totale de …. </w:t>
      </w:r>
      <w:proofErr w:type="gramStart"/>
      <w:r w:rsidRPr="0019435E">
        <w:rPr>
          <w:rFonts w:ascii="Arial" w:hAnsi="Arial" w:cs="Arial"/>
          <w:color w:val="70AD47" w:themeColor="accent6"/>
          <w:sz w:val="24"/>
          <w:szCs w:val="24"/>
          <w:lang w:val="fr-LU"/>
        </w:rPr>
        <w:t>m</w:t>
      </w:r>
      <w:proofErr w:type="gramEnd"/>
      <w:r w:rsidRPr="0019435E">
        <w:rPr>
          <w:rFonts w:ascii="Arial" w:hAnsi="Arial" w:cs="Arial"/>
          <w:color w:val="70AD47" w:themeColor="accent6"/>
          <w:sz w:val="24"/>
          <w:szCs w:val="24"/>
          <w:vertAlign w:val="superscript"/>
          <w:lang w:val="fr-LU"/>
        </w:rPr>
        <w:t>2</w:t>
      </w:r>
      <w:r w:rsidRPr="0019435E">
        <w:rPr>
          <w:rFonts w:ascii="Arial" w:hAnsi="Arial" w:cs="Arial"/>
          <w:color w:val="70AD47" w:themeColor="accent6"/>
          <w:sz w:val="24"/>
          <w:szCs w:val="24"/>
          <w:lang w:val="fr-LU"/>
        </w:rPr>
        <w:t>, conformément aux plans visés à l’article 8.</w:t>
      </w:r>
    </w:p>
    <w:p w14:paraId="62EA380F" w14:textId="1F4B0356" w:rsidR="00EA043D" w:rsidRPr="006164D2" w:rsidRDefault="006164D2" w:rsidP="006164D2">
      <w:pPr>
        <w:spacing w:line="276" w:lineRule="auto"/>
        <w:jc w:val="both"/>
        <w:rPr>
          <w:rFonts w:ascii="Arial" w:hAnsi="Arial" w:cs="Arial"/>
          <w:color w:val="70AD47" w:themeColor="accent6"/>
          <w:sz w:val="24"/>
          <w:szCs w:val="24"/>
          <w:lang w:val="fr-LU"/>
        </w:rPr>
      </w:pPr>
      <w:r>
        <w:rPr>
          <w:rFonts w:ascii="Arial" w:hAnsi="Arial" w:cs="Arial"/>
          <w:color w:val="70AD47" w:themeColor="accent6"/>
          <w:sz w:val="24"/>
          <w:szCs w:val="24"/>
          <w:lang w:val="fr-LU"/>
        </w:rPr>
        <w:t>L</w:t>
      </w:r>
      <w:r w:rsidR="00EA043D" w:rsidRPr="006164D2">
        <w:rPr>
          <w:rFonts w:ascii="Arial" w:hAnsi="Arial" w:cs="Arial"/>
          <w:color w:val="70AD47" w:themeColor="accent6"/>
          <w:sz w:val="24"/>
          <w:szCs w:val="24"/>
          <w:lang w:val="fr-LU"/>
        </w:rPr>
        <w:t>es lots formant les logements abordables sont repris dans le tableau qui suit. Il est précisé que le calcul de leurs surfaces respectives s’entend :</w:t>
      </w:r>
    </w:p>
    <w:p w14:paraId="4E7576FB" w14:textId="77777777" w:rsidR="00EA043D" w:rsidRP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utiles d’habitation, selon les définitions du « cahier des charges des logements abordables »,</w:t>
      </w:r>
    </w:p>
    <w:p w14:paraId="0B626BBB" w14:textId="71C65146" w:rsidR="00EA043D" w:rsidRDefault="00EA043D" w:rsidP="00EA043D">
      <w:pPr>
        <w:pStyle w:val="ListParagraph"/>
        <w:numPr>
          <w:ilvl w:val="0"/>
          <w:numId w:val="15"/>
        </w:numPr>
        <w:spacing w:line="276" w:lineRule="auto"/>
        <w:jc w:val="both"/>
        <w:rPr>
          <w:rFonts w:ascii="Arial" w:hAnsi="Arial" w:cs="Arial"/>
          <w:color w:val="70AD47" w:themeColor="accent6"/>
          <w:sz w:val="24"/>
          <w:szCs w:val="24"/>
          <w:lang w:val="fr-LU"/>
        </w:rPr>
      </w:pPr>
      <w:proofErr w:type="gramStart"/>
      <w:r w:rsidRPr="00EA043D">
        <w:rPr>
          <w:rFonts w:ascii="Arial" w:hAnsi="Arial" w:cs="Arial"/>
          <w:color w:val="70AD47" w:themeColor="accent6"/>
          <w:sz w:val="24"/>
          <w:szCs w:val="24"/>
          <w:lang w:val="fr-LU"/>
        </w:rPr>
        <w:t>pour</w:t>
      </w:r>
      <w:proofErr w:type="gramEnd"/>
      <w:r w:rsidRPr="00EA043D">
        <w:rPr>
          <w:rFonts w:ascii="Arial" w:hAnsi="Arial" w:cs="Arial"/>
          <w:color w:val="70AD47" w:themeColor="accent6"/>
          <w:sz w:val="24"/>
          <w:szCs w:val="24"/>
          <w:lang w:val="fr-LU"/>
        </w:rPr>
        <w:t xml:space="preserve"> les surfaces accessoires, selon la norme n°101:2016 de l'Institut luxembourgeois de la normalisation, de l'accréditation, de la sécurité et qualité des produits et services (ILNAS).</w:t>
      </w:r>
    </w:p>
    <w:p w14:paraId="6028F126" w14:textId="77777777" w:rsidR="00EA043D" w:rsidRPr="00EA043D" w:rsidRDefault="00EA043D" w:rsidP="00EA043D">
      <w:pPr>
        <w:pStyle w:val="ListParagraph"/>
        <w:spacing w:line="276" w:lineRule="auto"/>
        <w:jc w:val="both"/>
        <w:rPr>
          <w:rFonts w:ascii="Arial" w:hAnsi="Arial" w:cs="Arial"/>
          <w:color w:val="70AD47" w:themeColor="accent6"/>
          <w:sz w:val="24"/>
          <w:szCs w:val="24"/>
          <w:lang w:val="fr-LU"/>
        </w:rPr>
      </w:pPr>
    </w:p>
    <w:tbl>
      <w:tblPr>
        <w:tblStyle w:val="TableGrid"/>
        <w:tblW w:w="0" w:type="auto"/>
        <w:tblLook w:val="04A0" w:firstRow="1" w:lastRow="0" w:firstColumn="1" w:lastColumn="0" w:noHBand="0" w:noVBand="1"/>
      </w:tblPr>
      <w:tblGrid>
        <w:gridCol w:w="1555"/>
        <w:gridCol w:w="1701"/>
        <w:gridCol w:w="1701"/>
        <w:gridCol w:w="2029"/>
        <w:gridCol w:w="2030"/>
      </w:tblGrid>
      <w:tr w:rsidR="00EA043D" w:rsidRPr="00EA043D" w14:paraId="7FF3D185" w14:textId="77777777" w:rsidTr="00155D1E">
        <w:tc>
          <w:tcPr>
            <w:tcW w:w="1555" w:type="dxa"/>
          </w:tcPr>
          <w:p w14:paraId="4818EAF6" w14:textId="77777777" w:rsidR="00520760" w:rsidRPr="00EA043D" w:rsidRDefault="00520760" w:rsidP="00155D1E">
            <w:pPr>
              <w:spacing w:line="276" w:lineRule="auto"/>
              <w:jc w:val="both"/>
              <w:rPr>
                <w:rFonts w:ascii="Arial" w:hAnsi="Arial" w:cs="Arial"/>
                <w:b/>
                <w:color w:val="70AD47" w:themeColor="accent6"/>
                <w:sz w:val="24"/>
                <w:szCs w:val="24"/>
                <w:lang w:val="fr-LU"/>
              </w:rPr>
            </w:pPr>
          </w:p>
        </w:tc>
        <w:tc>
          <w:tcPr>
            <w:tcW w:w="3402" w:type="dxa"/>
            <w:gridSpan w:val="2"/>
          </w:tcPr>
          <w:p w14:paraId="7EFACA5C" w14:textId="7888A83B" w:rsidR="00520760" w:rsidRPr="00EA043D" w:rsidRDefault="00520760" w:rsidP="00EA043D">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w:t>
            </w:r>
            <w:r w:rsidR="00EA043D">
              <w:rPr>
                <w:rFonts w:ascii="Arial" w:hAnsi="Arial" w:cs="Arial"/>
                <w:b/>
                <w:color w:val="70AD47" w:themeColor="accent6"/>
                <w:sz w:val="24"/>
                <w:szCs w:val="24"/>
                <w:lang w:val="fr-LU"/>
              </w:rPr>
              <w:t>utiles d’habitation</w:t>
            </w:r>
          </w:p>
        </w:tc>
        <w:tc>
          <w:tcPr>
            <w:tcW w:w="4059" w:type="dxa"/>
            <w:gridSpan w:val="2"/>
          </w:tcPr>
          <w:p w14:paraId="76323A4F"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 xml:space="preserve">Surfaces accessoires </w:t>
            </w:r>
            <w:r w:rsidRPr="00EA043D">
              <w:rPr>
                <w:rFonts w:ascii="Arial" w:hAnsi="Arial" w:cs="Arial"/>
                <w:color w:val="70AD47" w:themeColor="accent6"/>
                <w:sz w:val="18"/>
                <w:szCs w:val="18"/>
                <w:lang w:val="fr-LU"/>
              </w:rPr>
              <w:t>(exemplatives)</w:t>
            </w:r>
          </w:p>
        </w:tc>
      </w:tr>
      <w:tr w:rsidR="00EA043D" w:rsidRPr="00EA043D" w14:paraId="39A060E4" w14:textId="77777777" w:rsidTr="00155D1E">
        <w:tc>
          <w:tcPr>
            <w:tcW w:w="1555" w:type="dxa"/>
          </w:tcPr>
          <w:p w14:paraId="47B9E004"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1</w:t>
            </w:r>
          </w:p>
        </w:tc>
        <w:tc>
          <w:tcPr>
            <w:tcW w:w="1701" w:type="dxa"/>
          </w:tcPr>
          <w:p w14:paraId="40D3C74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1791CA9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4F16A34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(parking)</w:t>
            </w:r>
          </w:p>
        </w:tc>
        <w:tc>
          <w:tcPr>
            <w:tcW w:w="2030" w:type="dxa"/>
          </w:tcPr>
          <w:p w14:paraId="3281D3A0"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685849E" w14:textId="77777777" w:rsidTr="00155D1E">
        <w:tc>
          <w:tcPr>
            <w:tcW w:w="1555" w:type="dxa"/>
            <w:vMerge w:val="restart"/>
          </w:tcPr>
          <w:p w14:paraId="58B1D468"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392E81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83893D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3D8D4EF1"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(balcon)</w:t>
            </w:r>
          </w:p>
        </w:tc>
        <w:tc>
          <w:tcPr>
            <w:tcW w:w="2030" w:type="dxa"/>
          </w:tcPr>
          <w:p w14:paraId="711A3C3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185AF621" w14:textId="77777777" w:rsidTr="00155D1E">
        <w:tc>
          <w:tcPr>
            <w:tcW w:w="1555" w:type="dxa"/>
            <w:vMerge/>
          </w:tcPr>
          <w:p w14:paraId="1B3D6B81"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1E51FFF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4AD67BB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21558136"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(cave)</w:t>
            </w:r>
          </w:p>
        </w:tc>
        <w:tc>
          <w:tcPr>
            <w:tcW w:w="2030" w:type="dxa"/>
          </w:tcPr>
          <w:p w14:paraId="684ACB0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7F10C5F1" w14:textId="77777777" w:rsidTr="00155D1E">
        <w:tc>
          <w:tcPr>
            <w:tcW w:w="1555" w:type="dxa"/>
            <w:vMerge/>
          </w:tcPr>
          <w:p w14:paraId="74A100C4"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5FA7428E"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w:t>
            </w:r>
          </w:p>
        </w:tc>
        <w:tc>
          <w:tcPr>
            <w:tcW w:w="1701" w:type="dxa"/>
          </w:tcPr>
          <w:p w14:paraId="2EB13C65"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c>
          <w:tcPr>
            <w:tcW w:w="2029" w:type="dxa"/>
          </w:tcPr>
          <w:p w14:paraId="6066BD5D"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Lot … (jardin)</w:t>
            </w:r>
          </w:p>
        </w:tc>
        <w:tc>
          <w:tcPr>
            <w:tcW w:w="2030" w:type="dxa"/>
          </w:tcPr>
          <w:p w14:paraId="607B8E5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Surface …</w:t>
            </w:r>
          </w:p>
        </w:tc>
      </w:tr>
      <w:tr w:rsidR="00EA043D" w:rsidRPr="00EA043D" w14:paraId="4FB8B973" w14:textId="77777777" w:rsidTr="00155D1E">
        <w:tc>
          <w:tcPr>
            <w:tcW w:w="1555" w:type="dxa"/>
            <w:vMerge/>
          </w:tcPr>
          <w:p w14:paraId="4186B80B" w14:textId="77777777" w:rsidR="00520760" w:rsidRPr="00EA043D" w:rsidRDefault="00520760" w:rsidP="00155D1E">
            <w:pPr>
              <w:spacing w:line="276" w:lineRule="auto"/>
              <w:jc w:val="both"/>
              <w:rPr>
                <w:rFonts w:ascii="Arial" w:hAnsi="Arial" w:cs="Arial"/>
                <w:color w:val="70AD47" w:themeColor="accent6"/>
                <w:sz w:val="24"/>
                <w:szCs w:val="24"/>
                <w:lang w:val="fr-LU"/>
              </w:rPr>
            </w:pPr>
          </w:p>
        </w:tc>
        <w:tc>
          <w:tcPr>
            <w:tcW w:w="1701" w:type="dxa"/>
          </w:tcPr>
          <w:p w14:paraId="684F63D2"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48B569B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72A5B067"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96D433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r w:rsidR="00EA043D" w:rsidRPr="00EA043D" w14:paraId="1A0264CC" w14:textId="77777777" w:rsidTr="00155D1E">
        <w:tc>
          <w:tcPr>
            <w:tcW w:w="1555" w:type="dxa"/>
          </w:tcPr>
          <w:p w14:paraId="7CAF3F26" w14:textId="77777777" w:rsidR="00520760" w:rsidRPr="00EA043D" w:rsidRDefault="00520760" w:rsidP="00155D1E">
            <w:pPr>
              <w:spacing w:line="276" w:lineRule="auto"/>
              <w:jc w:val="both"/>
              <w:rPr>
                <w:rFonts w:ascii="Arial" w:hAnsi="Arial" w:cs="Arial"/>
                <w:b/>
                <w:color w:val="70AD47" w:themeColor="accent6"/>
                <w:sz w:val="24"/>
                <w:szCs w:val="24"/>
                <w:lang w:val="fr-LU"/>
              </w:rPr>
            </w:pPr>
            <w:r w:rsidRPr="00EA043D">
              <w:rPr>
                <w:rFonts w:ascii="Arial" w:hAnsi="Arial" w:cs="Arial"/>
                <w:b/>
                <w:color w:val="70AD47" w:themeColor="accent6"/>
                <w:sz w:val="24"/>
                <w:szCs w:val="24"/>
                <w:lang w:val="fr-LU"/>
              </w:rPr>
              <w:t>Logement 2</w:t>
            </w:r>
          </w:p>
        </w:tc>
        <w:tc>
          <w:tcPr>
            <w:tcW w:w="1701" w:type="dxa"/>
          </w:tcPr>
          <w:p w14:paraId="6A1694DB"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1701" w:type="dxa"/>
          </w:tcPr>
          <w:p w14:paraId="7F597FBA"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29" w:type="dxa"/>
          </w:tcPr>
          <w:p w14:paraId="27861189"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c>
          <w:tcPr>
            <w:tcW w:w="2030" w:type="dxa"/>
          </w:tcPr>
          <w:p w14:paraId="5D5B7E1F" w14:textId="77777777" w:rsidR="00520760" w:rsidRPr="00EA043D" w:rsidRDefault="00520760" w:rsidP="00155D1E">
            <w:pPr>
              <w:spacing w:line="276" w:lineRule="auto"/>
              <w:jc w:val="both"/>
              <w:rPr>
                <w:rFonts w:ascii="Arial" w:hAnsi="Arial" w:cs="Arial"/>
                <w:color w:val="70AD47" w:themeColor="accent6"/>
                <w:sz w:val="24"/>
                <w:szCs w:val="24"/>
                <w:lang w:val="fr-LU"/>
              </w:rPr>
            </w:pPr>
            <w:r w:rsidRPr="00EA043D">
              <w:rPr>
                <w:rFonts w:ascii="Arial" w:hAnsi="Arial" w:cs="Arial"/>
                <w:color w:val="70AD47" w:themeColor="accent6"/>
                <w:sz w:val="24"/>
                <w:szCs w:val="24"/>
                <w:lang w:val="fr-LU"/>
              </w:rPr>
              <w:t xml:space="preserve">Etc. </w:t>
            </w:r>
          </w:p>
        </w:tc>
      </w:tr>
    </w:tbl>
    <w:p w14:paraId="54EF22D6" w14:textId="77777777" w:rsidR="00EA043D" w:rsidRDefault="00EA043D" w:rsidP="00172D3D">
      <w:pPr>
        <w:spacing w:line="276" w:lineRule="auto"/>
        <w:jc w:val="both"/>
        <w:rPr>
          <w:rFonts w:ascii="Arial" w:hAnsi="Arial" w:cs="Arial"/>
          <w:b/>
          <w:color w:val="000000" w:themeColor="text1"/>
          <w:sz w:val="24"/>
          <w:szCs w:val="24"/>
          <w:lang w:val="fr-LU"/>
        </w:rPr>
      </w:pPr>
    </w:p>
    <w:p w14:paraId="2D3854F5" w14:textId="59124E29"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Article 3. Cession des logements abordables et de leurs fonds</w:t>
      </w:r>
    </w:p>
    <w:p w14:paraId="65201032" w14:textId="085B3584" w:rsidR="007C5AE5" w:rsidRPr="00E47DE9" w:rsidRDefault="007C5AE5" w:rsidP="00172D3D">
      <w:pPr>
        <w:spacing w:line="276" w:lineRule="auto"/>
        <w:jc w:val="both"/>
        <w:rPr>
          <w:rFonts w:ascii="Arial" w:hAnsi="Arial" w:cs="Arial"/>
          <w:b/>
          <w:color w:val="000000" w:themeColor="text1"/>
          <w:sz w:val="24"/>
          <w:szCs w:val="24"/>
          <w:lang w:val="fr-LU"/>
        </w:rPr>
      </w:pPr>
      <w:r w:rsidRPr="00E47DE9">
        <w:rPr>
          <w:rFonts w:ascii="Arial" w:hAnsi="Arial" w:cs="Arial"/>
          <w:color w:val="000000" w:themeColor="text1"/>
          <w:sz w:val="24"/>
          <w:szCs w:val="24"/>
          <w:lang w:val="fr-LU"/>
        </w:rPr>
        <w:t xml:space="preserve">La cession faisant l’objet de la présente convention porte à la fois sur </w:t>
      </w:r>
      <w:r w:rsidR="00475C0C" w:rsidRPr="00E47DE9">
        <w:rPr>
          <w:rFonts w:ascii="Arial" w:hAnsi="Arial" w:cs="Arial"/>
          <w:color w:val="000000" w:themeColor="text1"/>
          <w:sz w:val="24"/>
          <w:szCs w:val="24"/>
          <w:lang w:val="fr-LU"/>
        </w:rPr>
        <w:t xml:space="preserve">les fonds concernés </w:t>
      </w:r>
      <w:r w:rsidR="00BB2C8B" w:rsidRPr="00E47DE9">
        <w:rPr>
          <w:rFonts w:ascii="Arial" w:hAnsi="Arial" w:cs="Arial"/>
          <w:color w:val="000000" w:themeColor="text1"/>
          <w:sz w:val="24"/>
          <w:szCs w:val="24"/>
          <w:lang w:val="fr-LU"/>
        </w:rPr>
        <w:t xml:space="preserve">et </w:t>
      </w:r>
      <w:r w:rsidRPr="00E47DE9">
        <w:rPr>
          <w:rFonts w:ascii="Arial" w:hAnsi="Arial" w:cs="Arial"/>
          <w:color w:val="000000" w:themeColor="text1"/>
          <w:sz w:val="24"/>
          <w:szCs w:val="24"/>
          <w:lang w:val="fr-LU"/>
        </w:rPr>
        <w:t xml:space="preserve">sur les logements abordables </w:t>
      </w:r>
      <w:r w:rsidR="00475C0C" w:rsidRPr="00E47DE9">
        <w:rPr>
          <w:rFonts w:ascii="Arial" w:hAnsi="Arial" w:cs="Arial"/>
          <w:color w:val="000000" w:themeColor="text1"/>
          <w:sz w:val="24"/>
          <w:szCs w:val="24"/>
          <w:lang w:val="fr-LU"/>
        </w:rPr>
        <w:t>qui y seront érigés</w:t>
      </w:r>
      <w:r w:rsidR="00EE2C15">
        <w:rPr>
          <w:rFonts w:ascii="Arial" w:hAnsi="Arial" w:cs="Arial"/>
          <w:color w:val="000000" w:themeColor="text1"/>
          <w:sz w:val="24"/>
          <w:szCs w:val="24"/>
          <w:lang w:val="fr-LU"/>
        </w:rPr>
        <w:t xml:space="preserve">, tel qu’identifiés sous l’article 2. </w:t>
      </w:r>
    </w:p>
    <w:p w14:paraId="1A1A3C29" w14:textId="6C282B8E"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 xml:space="preserve"> Cession des fonds </w:t>
      </w:r>
    </w:p>
    <w:p w14:paraId="7B82BD3E" w14:textId="6ED42E50"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fonds</w:t>
      </w:r>
      <w:r w:rsidR="00585857" w:rsidRPr="00E47DE9">
        <w:rPr>
          <w:rFonts w:ascii="Arial" w:hAnsi="Arial" w:cs="Arial"/>
          <w:color w:val="000000" w:themeColor="text1"/>
          <w:sz w:val="24"/>
          <w:szCs w:val="24"/>
          <w:lang w:val="fr-LU"/>
        </w:rPr>
        <w:t xml:space="preserve">, respectivement </w:t>
      </w:r>
      <w:proofErr w:type="spellStart"/>
      <w:r w:rsidR="00585857" w:rsidRPr="00E47DE9">
        <w:rPr>
          <w:rFonts w:ascii="Arial" w:hAnsi="Arial" w:cs="Arial"/>
          <w:color w:val="000000" w:themeColor="text1"/>
          <w:sz w:val="24"/>
          <w:szCs w:val="24"/>
          <w:lang w:val="fr-LU"/>
        </w:rPr>
        <w:t>quote-parts</w:t>
      </w:r>
      <w:proofErr w:type="spellEnd"/>
      <w:r w:rsidR="00585857" w:rsidRPr="00E47DE9">
        <w:rPr>
          <w:rFonts w:ascii="Arial" w:hAnsi="Arial" w:cs="Arial"/>
          <w:color w:val="000000" w:themeColor="text1"/>
          <w:sz w:val="24"/>
          <w:szCs w:val="24"/>
          <w:lang w:val="fr-LU"/>
        </w:rPr>
        <w:t xml:space="preserve"> de fonds</w:t>
      </w:r>
      <w:r w:rsidRPr="00E47DE9">
        <w:rPr>
          <w:rFonts w:ascii="Arial" w:hAnsi="Arial" w:cs="Arial"/>
          <w:color w:val="000000" w:themeColor="text1"/>
          <w:sz w:val="24"/>
          <w:szCs w:val="24"/>
          <w:lang w:val="fr-LU"/>
        </w:rPr>
        <w:t xml:space="preserve"> </w:t>
      </w:r>
      <w:r w:rsidR="00475C0C" w:rsidRPr="00E47DE9">
        <w:rPr>
          <w:rFonts w:ascii="Arial" w:hAnsi="Arial" w:cs="Arial"/>
          <w:color w:val="000000" w:themeColor="text1"/>
          <w:sz w:val="24"/>
          <w:szCs w:val="24"/>
          <w:lang w:val="fr-LU"/>
        </w:rPr>
        <w:t xml:space="preserve">pré-désignés </w:t>
      </w:r>
      <w:r w:rsidRPr="00E47DE9">
        <w:rPr>
          <w:rFonts w:ascii="Arial" w:hAnsi="Arial" w:cs="Arial"/>
          <w:color w:val="000000" w:themeColor="text1"/>
          <w:sz w:val="24"/>
          <w:szCs w:val="24"/>
          <w:lang w:val="fr-LU"/>
        </w:rPr>
        <w:t xml:space="preserve">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855F2D">
        <w:rPr>
          <w:rFonts w:ascii="Arial" w:hAnsi="Arial" w:cs="Arial"/>
          <w:color w:val="000000" w:themeColor="text1"/>
          <w:sz w:val="24"/>
          <w:szCs w:val="24"/>
          <w:lang w:val="fr-LU"/>
        </w:rPr>
        <w:t>au FDL</w:t>
      </w:r>
      <w:r w:rsidRPr="00E47DE9">
        <w:rPr>
          <w:rFonts w:ascii="Arial" w:hAnsi="Arial" w:cs="Arial"/>
          <w:color w:val="000000" w:themeColor="text1"/>
          <w:sz w:val="24"/>
          <w:szCs w:val="24"/>
          <w:lang w:val="fr-LU"/>
        </w:rPr>
        <w:t xml:space="preserve">, </w:t>
      </w:r>
      <w:r w:rsidR="00F92BC1">
        <w:rPr>
          <w:rFonts w:ascii="Arial" w:hAnsi="Arial" w:cs="Arial"/>
          <w:color w:val="000000" w:themeColor="text1"/>
          <w:sz w:val="24"/>
          <w:szCs w:val="24"/>
          <w:lang w:val="fr-LU"/>
        </w:rPr>
        <w:t xml:space="preserve">une fois viabilisés,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Pr="00E47DE9">
        <w:rPr>
          <w:rFonts w:ascii="Arial" w:hAnsi="Arial" w:cs="Arial"/>
          <w:color w:val="000000" w:themeColor="text1"/>
          <w:sz w:val="24"/>
          <w:szCs w:val="24"/>
          <w:lang w:val="fr-LU"/>
        </w:rPr>
        <w:t xml:space="preserve"> (</w:t>
      </w:r>
      <w:r w:rsidR="003426DB">
        <w:rPr>
          <w:rFonts w:ascii="Arial" w:hAnsi="Arial" w:cs="Arial"/>
          <w:color w:val="000000" w:themeColor="text1"/>
          <w:sz w:val="24"/>
          <w:szCs w:val="24"/>
          <w:lang w:val="fr-LU"/>
        </w:rPr>
        <w:t>7</w:t>
      </w:r>
      <w:r w:rsidRPr="00E47DE9">
        <w:rPr>
          <w:rFonts w:ascii="Arial" w:hAnsi="Arial" w:cs="Arial"/>
          <w:color w:val="000000" w:themeColor="text1"/>
          <w:sz w:val="24"/>
          <w:szCs w:val="24"/>
          <w:lang w:val="fr-LU"/>
        </w:rPr>
        <w:t>) de la loi ACDU.</w:t>
      </w:r>
    </w:p>
    <w:p w14:paraId="61A2F73F" w14:textId="77777777" w:rsidR="007C5AE5" w:rsidRPr="00E47DE9" w:rsidRDefault="007C5AE5" w:rsidP="00172D3D">
      <w:pPr>
        <w:pStyle w:val="ListParagraph"/>
        <w:numPr>
          <w:ilvl w:val="0"/>
          <w:numId w:val="7"/>
        </w:numPr>
        <w:spacing w:line="276" w:lineRule="auto"/>
        <w:ind w:left="360"/>
        <w:jc w:val="both"/>
        <w:rPr>
          <w:rFonts w:ascii="Arial" w:hAnsi="Arial" w:cs="Arial"/>
          <w:i/>
          <w:color w:val="000000" w:themeColor="text1"/>
          <w:sz w:val="24"/>
          <w:szCs w:val="24"/>
          <w:lang w:val="fr-LU"/>
        </w:rPr>
      </w:pPr>
      <w:r w:rsidRPr="00E47DE9">
        <w:rPr>
          <w:rFonts w:ascii="Arial" w:hAnsi="Arial" w:cs="Arial"/>
          <w:i/>
          <w:color w:val="000000" w:themeColor="text1"/>
          <w:sz w:val="24"/>
          <w:szCs w:val="24"/>
          <w:lang w:val="fr-LU"/>
        </w:rPr>
        <w:t>Cession des logements abordables</w:t>
      </w:r>
    </w:p>
    <w:p w14:paraId="43F41250" w14:textId="22308CF1" w:rsidR="007C5AE5"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Les logeme</w:t>
      </w:r>
      <w:r w:rsidR="00475C0C" w:rsidRPr="00E47DE9">
        <w:rPr>
          <w:rFonts w:ascii="Arial" w:hAnsi="Arial" w:cs="Arial"/>
          <w:color w:val="000000" w:themeColor="text1"/>
          <w:sz w:val="24"/>
          <w:szCs w:val="24"/>
          <w:lang w:val="fr-LU"/>
        </w:rPr>
        <w:t xml:space="preserve">nts abordables pré-désignés sont cédés </w:t>
      </w:r>
      <w:r w:rsidR="00855F2D">
        <w:rPr>
          <w:rFonts w:ascii="Arial" w:hAnsi="Arial" w:cs="Arial"/>
          <w:color w:val="000000" w:themeColor="text1"/>
          <w:sz w:val="24"/>
          <w:szCs w:val="24"/>
          <w:lang w:val="fr-LU"/>
        </w:rPr>
        <w:t>au FDL</w:t>
      </w:r>
      <w:r w:rsidRPr="00E47DE9">
        <w:rPr>
          <w:rFonts w:ascii="Arial" w:hAnsi="Arial" w:cs="Arial"/>
          <w:color w:val="000000" w:themeColor="text1"/>
          <w:sz w:val="24"/>
          <w:szCs w:val="24"/>
          <w:lang w:val="fr-LU"/>
        </w:rPr>
        <w:t xml:space="preserve"> selon le régime de la vente en état futur d’achèvement, conformément aux articles 1601-1 et suivants du Code civil, selon le prix figurant à l’article </w:t>
      </w:r>
      <w:r w:rsidR="008A257B" w:rsidRPr="00E47DE9">
        <w:rPr>
          <w:rFonts w:ascii="Arial" w:hAnsi="Arial" w:cs="Arial"/>
          <w:color w:val="000000" w:themeColor="text1"/>
          <w:sz w:val="24"/>
          <w:szCs w:val="24"/>
          <w:lang w:val="fr-LU"/>
        </w:rPr>
        <w:t>5</w:t>
      </w:r>
      <w:r w:rsidR="00153959" w:rsidRPr="00E47DE9">
        <w:rPr>
          <w:rFonts w:ascii="Arial" w:hAnsi="Arial" w:cs="Arial"/>
          <w:color w:val="000000" w:themeColor="text1"/>
          <w:sz w:val="24"/>
          <w:szCs w:val="24"/>
          <w:lang w:val="fr-LU"/>
        </w:rPr>
        <w:t>.</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7D102A76"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9A4870" w:rsidRPr="00E47DE9">
        <w:rPr>
          <w:rFonts w:ascii="Arial" w:hAnsi="Arial" w:cs="Arial"/>
          <w:sz w:val="24"/>
          <w:szCs w:val="24"/>
          <w:lang w:val="fr-LU"/>
        </w:rPr>
        <w:t>, respectivement quote-part de fonds</w:t>
      </w:r>
      <w:r w:rsidR="00D46B1D" w:rsidRPr="00E47DE9">
        <w:rPr>
          <w:rFonts w:ascii="Arial" w:hAnsi="Arial" w:cs="Arial"/>
          <w:sz w:val="24"/>
          <w:szCs w:val="24"/>
          <w:lang w:val="fr-LU"/>
        </w:rPr>
        <w:t xml:space="preserve"> concernés</w:t>
      </w:r>
      <w:r w:rsidR="00CA6389" w:rsidRPr="00E47DE9">
        <w:rPr>
          <w:rFonts w:ascii="Arial" w:hAnsi="Arial" w:cs="Arial"/>
          <w:sz w:val="24"/>
          <w:szCs w:val="24"/>
          <w:lang w:val="fr-LU"/>
        </w:rPr>
        <w:t>,</w:t>
      </w:r>
      <w:r w:rsidR="00D46B1D" w:rsidRPr="00E47DE9">
        <w:rPr>
          <w:rFonts w:ascii="Arial" w:hAnsi="Arial" w:cs="Arial"/>
          <w:sz w:val="24"/>
          <w:szCs w:val="24"/>
          <w:lang w:val="fr-LU"/>
        </w:rPr>
        <w:t xml:space="preserve"> ne sont grevés par aucune charge / les charges suivantes : </w:t>
      </w:r>
      <w:r w:rsidR="006176B2" w:rsidRPr="00E47DE9">
        <w:rPr>
          <w:rFonts w:ascii="Arial" w:hAnsi="Arial" w:cs="Arial"/>
          <w:sz w:val="24"/>
          <w:szCs w:val="24"/>
          <w:lang w:val="fr-LU"/>
        </w:rPr>
        <w:t>…</w:t>
      </w:r>
    </w:p>
    <w:p w14:paraId="1C5AC615" w14:textId="77777777" w:rsidR="002D3257" w:rsidRPr="00E47DE9" w:rsidRDefault="002D3257" w:rsidP="00F76013">
      <w:pPr>
        <w:jc w:val="both"/>
        <w:rPr>
          <w:rFonts w:ascii="Arial" w:hAnsi="Arial" w:cs="Arial"/>
          <w:b/>
          <w:sz w:val="24"/>
          <w:szCs w:val="24"/>
          <w:lang w:val="fr-LU"/>
        </w:rPr>
      </w:pPr>
    </w:p>
    <w:p w14:paraId="3DDBAEAC" w14:textId="0A10991B" w:rsidR="00A45B7C" w:rsidRPr="00E47DE9" w:rsidRDefault="00A45B7C" w:rsidP="002007A8">
      <w:pPr>
        <w:spacing w:line="276" w:lineRule="auto"/>
        <w:jc w:val="both"/>
        <w:rPr>
          <w:rFonts w:ascii="Arial" w:hAnsi="Arial" w:cs="Arial"/>
          <w:sz w:val="24"/>
          <w:szCs w:val="24"/>
          <w:lang w:val="fr-LU"/>
        </w:rPr>
      </w:pPr>
      <w:r w:rsidRPr="00E47DE9">
        <w:rPr>
          <w:rFonts w:ascii="Arial" w:hAnsi="Arial" w:cs="Arial"/>
          <w:b/>
          <w:sz w:val="24"/>
          <w:szCs w:val="24"/>
          <w:lang w:val="fr-LU"/>
        </w:rPr>
        <w:lastRenderedPageBreak/>
        <w:t xml:space="preserve">Article </w:t>
      </w:r>
      <w:r w:rsidR="006D7835" w:rsidRPr="00E47DE9">
        <w:rPr>
          <w:rFonts w:ascii="Arial" w:hAnsi="Arial" w:cs="Arial"/>
          <w:b/>
          <w:sz w:val="24"/>
          <w:szCs w:val="24"/>
          <w:lang w:val="fr-LU"/>
        </w:rPr>
        <w:t>5</w:t>
      </w:r>
      <w:r w:rsidRPr="00E47DE9">
        <w:rPr>
          <w:rFonts w:ascii="Arial" w:hAnsi="Arial" w:cs="Arial"/>
          <w:b/>
          <w:sz w:val="24"/>
          <w:szCs w:val="24"/>
          <w:lang w:val="fr-LU"/>
        </w:rPr>
        <w:t xml:space="preserve">. </w:t>
      </w:r>
      <w:r w:rsidR="00046A33" w:rsidRPr="00E47DE9">
        <w:rPr>
          <w:rFonts w:ascii="Arial" w:hAnsi="Arial" w:cs="Arial"/>
          <w:b/>
          <w:sz w:val="24"/>
          <w:szCs w:val="24"/>
          <w:lang w:val="fr-LU"/>
        </w:rPr>
        <w:t>Prix</w:t>
      </w:r>
      <w:r w:rsidRPr="00E47DE9">
        <w:rPr>
          <w:rFonts w:ascii="Arial" w:hAnsi="Arial" w:cs="Arial"/>
          <w:b/>
          <w:sz w:val="24"/>
          <w:szCs w:val="24"/>
          <w:lang w:val="fr-LU"/>
        </w:rPr>
        <w:t xml:space="preserve"> des logements abordables</w:t>
      </w:r>
      <w:r w:rsidR="00AA527A" w:rsidRPr="00E47DE9">
        <w:rPr>
          <w:rFonts w:ascii="Arial" w:hAnsi="Arial" w:cs="Arial"/>
          <w:b/>
          <w:sz w:val="24"/>
          <w:szCs w:val="24"/>
          <w:lang w:val="fr-LU"/>
        </w:rPr>
        <w:t xml:space="preserve"> et indexation</w:t>
      </w:r>
    </w:p>
    <w:p w14:paraId="6CAF1DAE" w14:textId="3CD4019B" w:rsidR="00222201" w:rsidRDefault="00C41CB9" w:rsidP="002007A8">
      <w:pPr>
        <w:spacing w:line="276" w:lineRule="auto"/>
        <w:jc w:val="both"/>
        <w:rPr>
          <w:rFonts w:ascii="Arial" w:hAnsi="Arial" w:cs="Arial"/>
          <w:sz w:val="24"/>
          <w:szCs w:val="24"/>
          <w:lang w:val="fr-LU"/>
        </w:rPr>
      </w:pPr>
      <w:r w:rsidRPr="00E47DE9">
        <w:rPr>
          <w:rFonts w:ascii="Arial" w:hAnsi="Arial" w:cs="Arial"/>
          <w:sz w:val="24"/>
          <w:szCs w:val="24"/>
          <w:lang w:val="fr-LU"/>
        </w:rPr>
        <w:t>Conformément à l’article 29</w:t>
      </w:r>
      <w:r w:rsidRPr="00E47DE9">
        <w:rPr>
          <w:rFonts w:ascii="Arial" w:hAnsi="Arial" w:cs="Arial"/>
          <w:i/>
          <w:sz w:val="24"/>
          <w:szCs w:val="24"/>
          <w:lang w:val="fr-LU"/>
        </w:rPr>
        <w:t>bis</w:t>
      </w:r>
      <w:r w:rsidRPr="00E47DE9">
        <w:rPr>
          <w:rFonts w:ascii="Arial" w:hAnsi="Arial" w:cs="Arial"/>
          <w:sz w:val="24"/>
          <w:szCs w:val="24"/>
          <w:lang w:val="fr-LU"/>
        </w:rPr>
        <w:t xml:space="preserve"> (6), alinéa 2, la </w:t>
      </w:r>
      <w:r w:rsidR="0051380C">
        <w:rPr>
          <w:rFonts w:ascii="Arial" w:hAnsi="Arial" w:cs="Arial"/>
          <w:sz w:val="24"/>
          <w:szCs w:val="24"/>
          <w:lang w:val="fr-LU"/>
        </w:rPr>
        <w:t xml:space="preserve">valeur de cession des logements </w:t>
      </w:r>
      <w:r w:rsidRPr="00E47DE9">
        <w:rPr>
          <w:rFonts w:ascii="Arial" w:hAnsi="Arial" w:cs="Arial"/>
          <w:sz w:val="24"/>
          <w:szCs w:val="24"/>
          <w:lang w:val="fr-LU"/>
        </w:rPr>
        <w:t>abordables doit tenir</w:t>
      </w:r>
      <w:r w:rsidR="002740B4" w:rsidRPr="00E47DE9">
        <w:rPr>
          <w:rFonts w:ascii="Arial" w:hAnsi="Arial" w:cs="Arial"/>
          <w:sz w:val="24"/>
          <w:szCs w:val="24"/>
          <w:lang w:val="fr-LU"/>
        </w:rPr>
        <w:t xml:space="preserve"> compte du prix de réalisation</w:t>
      </w:r>
      <w:r w:rsidR="002007A8">
        <w:rPr>
          <w:rFonts w:ascii="Arial" w:hAnsi="Arial" w:cs="Arial"/>
          <w:sz w:val="24"/>
          <w:szCs w:val="24"/>
          <w:lang w:val="fr-LU"/>
        </w:rPr>
        <w:t>.</w:t>
      </w:r>
    </w:p>
    <w:p w14:paraId="26876951" w14:textId="540BF3BF" w:rsidR="00EA043D" w:rsidRPr="00B11290" w:rsidRDefault="00EA043D" w:rsidP="002007A8">
      <w:pPr>
        <w:spacing w:line="276" w:lineRule="auto"/>
        <w:jc w:val="both"/>
        <w:rPr>
          <w:rFonts w:ascii="Arial" w:hAnsi="Arial" w:cs="Arial"/>
          <w:sz w:val="24"/>
          <w:szCs w:val="24"/>
          <w:lang w:val="fr-LU"/>
        </w:rPr>
      </w:pPr>
      <w:r>
        <w:rPr>
          <w:rFonts w:ascii="Arial" w:hAnsi="Arial" w:cs="Arial"/>
          <w:sz w:val="24"/>
          <w:szCs w:val="24"/>
          <w:lang w:val="fr-LU"/>
        </w:rPr>
        <w:t xml:space="preserve">Le prix comprend les lots identifiés sous l’article 2 ainsi que tous les frais </w:t>
      </w:r>
      <w:r w:rsidR="008B1DA6">
        <w:rPr>
          <w:rFonts w:ascii="Arial" w:hAnsi="Arial" w:cs="Arial"/>
          <w:sz w:val="24"/>
          <w:szCs w:val="24"/>
          <w:lang w:val="fr-LU"/>
        </w:rPr>
        <w:t xml:space="preserve">et honoraires </w:t>
      </w:r>
      <w:r>
        <w:rPr>
          <w:rFonts w:ascii="Arial" w:hAnsi="Arial" w:cs="Arial"/>
          <w:sz w:val="24"/>
          <w:szCs w:val="24"/>
          <w:lang w:val="fr-LU"/>
        </w:rPr>
        <w:t>relatifs aux autorisations, études et</w:t>
      </w:r>
      <w:r w:rsidR="008B1DA6">
        <w:rPr>
          <w:rFonts w:ascii="Arial" w:hAnsi="Arial" w:cs="Arial"/>
          <w:sz w:val="24"/>
          <w:szCs w:val="24"/>
          <w:lang w:val="fr-LU"/>
        </w:rPr>
        <w:t xml:space="preserve"> assurances afférentes.</w:t>
      </w:r>
    </w:p>
    <w:p w14:paraId="44B69823" w14:textId="08A7E062" w:rsidR="00A45B7C" w:rsidRPr="00B21EEA" w:rsidRDefault="00C41CB9" w:rsidP="002007A8">
      <w:pPr>
        <w:spacing w:line="276" w:lineRule="auto"/>
        <w:jc w:val="both"/>
        <w:rPr>
          <w:rFonts w:ascii="Arial" w:hAnsi="Arial" w:cs="Arial"/>
          <w:sz w:val="24"/>
          <w:szCs w:val="24"/>
          <w:lang w:val="fr-LU"/>
        </w:rPr>
      </w:pPr>
      <w:r w:rsidRPr="00B21EEA">
        <w:rPr>
          <w:rFonts w:ascii="Arial" w:hAnsi="Arial" w:cs="Arial"/>
          <w:sz w:val="24"/>
          <w:szCs w:val="24"/>
          <w:lang w:val="fr-LU"/>
        </w:rPr>
        <w:t>Ce</w:t>
      </w:r>
      <w:r w:rsidR="006D6673" w:rsidRPr="00B21EEA">
        <w:rPr>
          <w:rFonts w:ascii="Arial" w:hAnsi="Arial" w:cs="Arial"/>
          <w:sz w:val="24"/>
          <w:szCs w:val="24"/>
          <w:lang w:val="fr-LU"/>
        </w:rPr>
        <w:t xml:space="preserve"> prix </w:t>
      </w:r>
      <w:r w:rsidR="006D7835" w:rsidRPr="00B21EEA">
        <w:rPr>
          <w:rFonts w:ascii="Arial" w:hAnsi="Arial" w:cs="Arial"/>
          <w:sz w:val="24"/>
          <w:szCs w:val="24"/>
          <w:lang w:val="fr-LU"/>
        </w:rPr>
        <w:t>est fixé</w:t>
      </w:r>
      <w:r w:rsidR="002740B4" w:rsidRPr="00B21EEA">
        <w:rPr>
          <w:rFonts w:ascii="Arial" w:hAnsi="Arial" w:cs="Arial"/>
          <w:sz w:val="24"/>
          <w:szCs w:val="24"/>
          <w:lang w:val="fr-LU"/>
        </w:rPr>
        <w:t xml:space="preserve"> comme suit</w:t>
      </w:r>
      <w:r w:rsidR="00222201">
        <w:rPr>
          <w:rFonts w:ascii="Arial" w:hAnsi="Arial" w:cs="Arial"/>
          <w:sz w:val="24"/>
          <w:szCs w:val="24"/>
          <w:lang w:val="fr-LU"/>
        </w:rPr>
        <w:t> :</w:t>
      </w:r>
      <w:r w:rsidR="00A10D36" w:rsidRPr="00B21EEA">
        <w:rPr>
          <w:rFonts w:ascii="Arial" w:hAnsi="Arial" w:cs="Arial"/>
          <w:sz w:val="24"/>
          <w:szCs w:val="24"/>
          <w:lang w:val="fr-LU"/>
        </w:rPr>
        <w:t xml:space="preserve"> </w:t>
      </w:r>
    </w:p>
    <w:p w14:paraId="2BF75799" w14:textId="1FE72233" w:rsidR="00A45B7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Prix</w:t>
      </w:r>
      <w:r w:rsidR="00A45B7C" w:rsidRPr="002125AA">
        <w:rPr>
          <w:rFonts w:ascii="Arial" w:hAnsi="Arial" w:cs="Arial"/>
          <w:sz w:val="24"/>
          <w:szCs w:val="24"/>
          <w:lang w:val="fr-LU"/>
        </w:rPr>
        <w:t xml:space="preserve"> de construction </w:t>
      </w:r>
      <w:r w:rsidR="006D7835" w:rsidRPr="002125AA">
        <w:rPr>
          <w:rFonts w:ascii="Arial" w:hAnsi="Arial" w:cs="Arial"/>
          <w:sz w:val="24"/>
          <w:szCs w:val="24"/>
          <w:lang w:val="fr-LU"/>
        </w:rPr>
        <w:t>pour les logements abordables </w:t>
      </w:r>
      <w:r w:rsidR="00A45B7C" w:rsidRPr="002125AA">
        <w:rPr>
          <w:rFonts w:ascii="Arial" w:hAnsi="Arial" w:cs="Arial"/>
          <w:sz w:val="24"/>
          <w:szCs w:val="24"/>
          <w:lang w:val="fr-LU"/>
        </w:rPr>
        <w:t>hors TVA</w:t>
      </w:r>
      <w:r w:rsidR="00141296" w:rsidRPr="002125AA">
        <w:rPr>
          <w:rFonts w:ascii="Arial" w:hAnsi="Arial" w:cs="Arial"/>
          <w:sz w:val="24"/>
          <w:szCs w:val="24"/>
          <w:lang w:val="fr-LU"/>
        </w:rPr>
        <w:t xml:space="preserve">: </w:t>
      </w:r>
      <w:r w:rsidR="006D7835" w:rsidRPr="002125AA">
        <w:rPr>
          <w:rFonts w:ascii="Arial" w:hAnsi="Arial" w:cs="Arial"/>
          <w:sz w:val="24"/>
          <w:szCs w:val="24"/>
          <w:lang w:val="fr-LU"/>
        </w:rPr>
        <w:tab/>
      </w:r>
      <w:r w:rsidR="008B1DA6">
        <w:rPr>
          <w:rFonts w:ascii="Arial" w:hAnsi="Arial" w:cs="Arial"/>
          <w:sz w:val="24"/>
          <w:szCs w:val="24"/>
          <w:lang w:val="fr-LU"/>
        </w:rPr>
        <w:t xml:space="preserve">… </w:t>
      </w:r>
      <w:r w:rsidR="00141296" w:rsidRPr="002125AA">
        <w:rPr>
          <w:rFonts w:ascii="Arial" w:hAnsi="Arial" w:cs="Arial"/>
          <w:sz w:val="24"/>
          <w:szCs w:val="24"/>
          <w:lang w:val="fr-LU"/>
        </w:rPr>
        <w:t>€</w:t>
      </w:r>
    </w:p>
    <w:p w14:paraId="4AE85D1A" w14:textId="74C99454" w:rsidR="00141296" w:rsidRPr="002125AA" w:rsidRDefault="006D6673" w:rsidP="002007A8">
      <w:pPr>
        <w:pBdr>
          <w:bottom w:val="single" w:sz="4" w:space="1" w:color="auto"/>
        </w:pBdr>
        <w:spacing w:line="276" w:lineRule="auto"/>
        <w:jc w:val="both"/>
        <w:rPr>
          <w:rFonts w:ascii="Arial" w:hAnsi="Arial" w:cs="Arial"/>
          <w:sz w:val="24"/>
          <w:szCs w:val="24"/>
          <w:lang w:val="fr-LU"/>
        </w:rPr>
      </w:pPr>
      <w:r w:rsidRPr="002125AA">
        <w:rPr>
          <w:rFonts w:ascii="Arial" w:hAnsi="Arial" w:cs="Arial"/>
          <w:sz w:val="24"/>
          <w:szCs w:val="24"/>
          <w:lang w:val="fr-LU"/>
        </w:rPr>
        <w:t>TVA</w:t>
      </w:r>
      <w:r w:rsidR="009D5E29" w:rsidRPr="002125AA">
        <w:rPr>
          <w:rFonts w:ascii="Arial" w:hAnsi="Arial" w:cs="Arial"/>
          <w:sz w:val="24"/>
          <w:szCs w:val="24"/>
          <w:lang w:val="fr-LU"/>
        </w:rPr>
        <w:t xml:space="preserve">: </w:t>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9D5E29"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9D5E29" w:rsidRPr="002125AA">
        <w:rPr>
          <w:rFonts w:ascii="Arial" w:hAnsi="Arial" w:cs="Arial"/>
          <w:sz w:val="24"/>
          <w:szCs w:val="24"/>
          <w:lang w:val="fr-LU"/>
        </w:rPr>
        <w:t>… €</w:t>
      </w:r>
    </w:p>
    <w:p w14:paraId="4F488416" w14:textId="3E92F47D" w:rsidR="009D5E29" w:rsidRPr="002125AA" w:rsidRDefault="006D7835" w:rsidP="002007A8">
      <w:pPr>
        <w:spacing w:line="276" w:lineRule="auto"/>
        <w:jc w:val="both"/>
        <w:rPr>
          <w:rFonts w:ascii="Arial" w:hAnsi="Arial" w:cs="Arial"/>
          <w:sz w:val="24"/>
          <w:szCs w:val="24"/>
          <w:lang w:val="fr-LU"/>
        </w:rPr>
      </w:pPr>
      <w:r w:rsidRPr="002125AA">
        <w:rPr>
          <w:rFonts w:ascii="Arial" w:hAnsi="Arial" w:cs="Arial"/>
          <w:sz w:val="24"/>
          <w:szCs w:val="24"/>
          <w:lang w:val="fr-LU"/>
        </w:rPr>
        <w:t>Prix de construction pour les logements abordables </w:t>
      </w:r>
      <w:r w:rsidR="006D6673" w:rsidRPr="002125AA">
        <w:rPr>
          <w:rFonts w:ascii="Arial" w:hAnsi="Arial" w:cs="Arial"/>
          <w:sz w:val="24"/>
          <w:szCs w:val="24"/>
          <w:lang w:val="fr-LU"/>
        </w:rPr>
        <w:t>TTC</w:t>
      </w:r>
      <w:r w:rsidR="009D5E29" w:rsidRPr="002125AA">
        <w:rPr>
          <w:rFonts w:ascii="Arial" w:hAnsi="Arial" w:cs="Arial"/>
          <w:sz w:val="24"/>
          <w:szCs w:val="24"/>
          <w:lang w:val="fr-LU"/>
        </w:rPr>
        <w:t>:</w:t>
      </w:r>
      <w:r w:rsidR="009D5E29" w:rsidRPr="002125AA">
        <w:rPr>
          <w:rFonts w:ascii="Arial" w:hAnsi="Arial" w:cs="Arial"/>
          <w:sz w:val="24"/>
          <w:szCs w:val="24"/>
          <w:lang w:val="fr-LU"/>
        </w:rPr>
        <w:tab/>
      </w:r>
      <w:r w:rsidR="009D5E29" w:rsidRPr="002125AA">
        <w:rPr>
          <w:rFonts w:ascii="Arial" w:hAnsi="Arial" w:cs="Arial"/>
          <w:sz w:val="24"/>
          <w:szCs w:val="24"/>
          <w:lang w:val="fr-LU"/>
        </w:rPr>
        <w:tab/>
        <w:t>… €</w:t>
      </w:r>
    </w:p>
    <w:p w14:paraId="1BD1D4A2" w14:textId="150F9D0E" w:rsidR="00F3063C" w:rsidRPr="002125AA" w:rsidRDefault="006D6673" w:rsidP="002007A8">
      <w:pPr>
        <w:spacing w:line="276" w:lineRule="auto"/>
        <w:jc w:val="both"/>
        <w:rPr>
          <w:rFonts w:ascii="Arial" w:hAnsi="Arial" w:cs="Arial"/>
          <w:sz w:val="24"/>
          <w:szCs w:val="24"/>
          <w:lang w:val="fr-LU"/>
        </w:rPr>
      </w:pPr>
      <w:r w:rsidRPr="002125AA">
        <w:rPr>
          <w:rFonts w:ascii="Arial" w:hAnsi="Arial" w:cs="Arial"/>
          <w:sz w:val="24"/>
          <w:szCs w:val="24"/>
          <w:lang w:val="fr-LU"/>
        </w:rPr>
        <w:t xml:space="preserve">Prix </w:t>
      </w:r>
      <w:r w:rsidR="00F3063C" w:rsidRPr="002125AA">
        <w:rPr>
          <w:rFonts w:ascii="Arial" w:hAnsi="Arial" w:cs="Arial"/>
          <w:sz w:val="24"/>
          <w:szCs w:val="24"/>
          <w:lang w:val="fr-LU"/>
        </w:rPr>
        <w:t>en lettres </w:t>
      </w:r>
      <w:r w:rsidRPr="002125AA">
        <w:rPr>
          <w:rFonts w:ascii="Arial" w:hAnsi="Arial" w:cs="Arial"/>
          <w:sz w:val="24"/>
          <w:szCs w:val="24"/>
          <w:lang w:val="fr-LU"/>
        </w:rPr>
        <w:t>toutes taxes comprises</w:t>
      </w:r>
      <w:r w:rsidR="00F3063C" w:rsidRPr="002125AA">
        <w:rPr>
          <w:rFonts w:ascii="Arial" w:hAnsi="Arial" w:cs="Arial"/>
          <w:sz w:val="24"/>
          <w:szCs w:val="24"/>
          <w:lang w:val="fr-LU"/>
        </w:rPr>
        <w:t xml:space="preserve">: </w:t>
      </w:r>
      <w:r w:rsidR="00F3063C" w:rsidRPr="002125AA">
        <w:rPr>
          <w:rFonts w:ascii="Arial" w:hAnsi="Arial" w:cs="Arial"/>
          <w:sz w:val="24"/>
          <w:szCs w:val="24"/>
          <w:lang w:val="fr-LU"/>
        </w:rPr>
        <w:tab/>
      </w:r>
      <w:r w:rsidR="00F3063C" w:rsidRPr="002125AA">
        <w:rPr>
          <w:rFonts w:ascii="Arial" w:hAnsi="Arial" w:cs="Arial"/>
          <w:sz w:val="24"/>
          <w:szCs w:val="24"/>
          <w:lang w:val="fr-LU"/>
        </w:rPr>
        <w:tab/>
      </w:r>
      <w:r w:rsidR="007A263F" w:rsidRPr="002125AA">
        <w:rPr>
          <w:rFonts w:ascii="Arial" w:hAnsi="Arial" w:cs="Arial"/>
          <w:sz w:val="24"/>
          <w:szCs w:val="24"/>
          <w:lang w:val="fr-LU"/>
        </w:rPr>
        <w:tab/>
      </w:r>
      <w:r w:rsidR="006D7835" w:rsidRPr="002125AA">
        <w:rPr>
          <w:rFonts w:ascii="Arial" w:hAnsi="Arial" w:cs="Arial"/>
          <w:sz w:val="24"/>
          <w:szCs w:val="24"/>
          <w:lang w:val="fr-LU"/>
        </w:rPr>
        <w:tab/>
      </w:r>
      <w:r w:rsidR="006D7835" w:rsidRPr="002125AA">
        <w:rPr>
          <w:rFonts w:ascii="Arial" w:hAnsi="Arial" w:cs="Arial"/>
          <w:sz w:val="24"/>
          <w:szCs w:val="24"/>
          <w:lang w:val="fr-LU"/>
        </w:rPr>
        <w:tab/>
      </w:r>
      <w:r w:rsidR="007A263F" w:rsidRPr="002125AA">
        <w:rPr>
          <w:rFonts w:ascii="Arial" w:hAnsi="Arial" w:cs="Arial"/>
          <w:sz w:val="24"/>
          <w:szCs w:val="24"/>
          <w:lang w:val="fr-LU"/>
        </w:rPr>
        <w:t>… euros</w:t>
      </w:r>
    </w:p>
    <w:p w14:paraId="557F9BF2" w14:textId="5CB07910" w:rsidR="00452BE4" w:rsidRDefault="00A20052" w:rsidP="002007A8">
      <w:pPr>
        <w:spacing w:line="276" w:lineRule="auto"/>
        <w:jc w:val="both"/>
        <w:rPr>
          <w:rFonts w:ascii="Arial" w:hAnsi="Arial" w:cs="Arial"/>
          <w:sz w:val="24"/>
          <w:szCs w:val="24"/>
          <w:lang w:val="fr-LU"/>
        </w:rPr>
      </w:pPr>
      <w:r w:rsidRPr="002125AA">
        <w:rPr>
          <w:rFonts w:ascii="Arial" w:hAnsi="Arial" w:cs="Arial"/>
          <w:sz w:val="24"/>
          <w:szCs w:val="24"/>
          <w:highlight w:val="yellow"/>
          <w:lang w:val="fr-LU"/>
        </w:rPr>
        <w:br/>
      </w:r>
      <w:r w:rsidR="006D6673" w:rsidRPr="002125AA">
        <w:rPr>
          <w:rFonts w:ascii="Arial" w:hAnsi="Arial" w:cs="Arial"/>
          <w:sz w:val="24"/>
          <w:szCs w:val="24"/>
          <w:lang w:val="fr-LU"/>
        </w:rPr>
        <w:t>Le prix</w:t>
      </w:r>
      <w:r w:rsidR="00733487" w:rsidRPr="002125AA">
        <w:rPr>
          <w:rFonts w:ascii="Arial" w:hAnsi="Arial" w:cs="Arial"/>
          <w:sz w:val="24"/>
          <w:szCs w:val="24"/>
          <w:lang w:val="fr-LU"/>
        </w:rPr>
        <w:t xml:space="preserve"> de la </w:t>
      </w:r>
      <w:r w:rsidR="0025659A" w:rsidRPr="002125AA">
        <w:rPr>
          <w:rFonts w:ascii="Arial" w:hAnsi="Arial" w:cs="Arial"/>
          <w:sz w:val="24"/>
          <w:szCs w:val="24"/>
          <w:lang w:val="fr-LU"/>
        </w:rPr>
        <w:t>cession des logements abordables est s</w:t>
      </w:r>
      <w:r w:rsidR="006D6673" w:rsidRPr="002125AA">
        <w:rPr>
          <w:rFonts w:ascii="Arial" w:hAnsi="Arial" w:cs="Arial"/>
          <w:sz w:val="24"/>
          <w:szCs w:val="24"/>
          <w:lang w:val="fr-LU"/>
        </w:rPr>
        <w:t>ujet</w:t>
      </w:r>
      <w:r w:rsidR="0025659A" w:rsidRPr="002125AA">
        <w:rPr>
          <w:rFonts w:ascii="Arial" w:hAnsi="Arial" w:cs="Arial"/>
          <w:sz w:val="24"/>
          <w:szCs w:val="24"/>
          <w:lang w:val="fr-LU"/>
        </w:rPr>
        <w:t xml:space="preserve"> à adaptation en fonction des variations de l’indice des prix à la construction, nombre indice 100 en 1970</w:t>
      </w:r>
      <w:r w:rsidR="005218BF" w:rsidRPr="002125AA">
        <w:rPr>
          <w:rFonts w:ascii="Arial" w:hAnsi="Arial" w:cs="Arial"/>
          <w:sz w:val="24"/>
          <w:szCs w:val="24"/>
          <w:lang w:val="fr-LU"/>
        </w:rPr>
        <w:t xml:space="preserve">, </w:t>
      </w:r>
      <w:r w:rsidR="00CE072C">
        <w:rPr>
          <w:rFonts w:ascii="Arial" w:hAnsi="Arial" w:cs="Arial"/>
          <w:sz w:val="24"/>
          <w:szCs w:val="24"/>
          <w:lang w:val="fr-LU"/>
        </w:rPr>
        <w:t>jusqu’au moment du début du chantier ainsi que</w:t>
      </w:r>
      <w:r w:rsidR="00086838">
        <w:rPr>
          <w:rFonts w:ascii="Arial" w:hAnsi="Arial" w:cs="Arial"/>
          <w:sz w:val="24"/>
          <w:szCs w:val="24"/>
          <w:lang w:val="fr-LU"/>
        </w:rPr>
        <w:t>,</w:t>
      </w:r>
      <w:r w:rsidR="005218BF" w:rsidRPr="002125AA">
        <w:rPr>
          <w:rFonts w:ascii="Arial" w:hAnsi="Arial" w:cs="Arial"/>
          <w:sz w:val="24"/>
          <w:szCs w:val="24"/>
          <w:lang w:val="fr-LU"/>
        </w:rPr>
        <w:t xml:space="preserve"> le cas échéant, d’une modification du taux de la taxe sur la valeur ajoutée</w:t>
      </w:r>
      <w:r w:rsidR="0025659A" w:rsidRPr="002125AA">
        <w:rPr>
          <w:rFonts w:ascii="Arial" w:hAnsi="Arial" w:cs="Arial"/>
          <w:sz w:val="24"/>
          <w:szCs w:val="24"/>
          <w:lang w:val="fr-LU"/>
        </w:rPr>
        <w:t xml:space="preserve">. </w:t>
      </w:r>
    </w:p>
    <w:p w14:paraId="287684FA" w14:textId="5DD93F49" w:rsidR="00CE072C" w:rsidRDefault="00CE072C" w:rsidP="002007A8">
      <w:pPr>
        <w:spacing w:line="276" w:lineRule="auto"/>
        <w:jc w:val="both"/>
        <w:rPr>
          <w:rFonts w:ascii="Arial" w:hAnsi="Arial" w:cs="Arial"/>
          <w:sz w:val="24"/>
          <w:szCs w:val="24"/>
          <w:lang w:val="fr-LU"/>
        </w:rPr>
      </w:pPr>
      <w:r>
        <w:rPr>
          <w:rFonts w:ascii="Arial" w:hAnsi="Arial" w:cs="Arial"/>
          <w:sz w:val="24"/>
          <w:szCs w:val="24"/>
          <w:lang w:val="fr-LU"/>
        </w:rPr>
        <w:t>Aucune indexation n’est effectuée en cours de chantier.</w:t>
      </w:r>
    </w:p>
    <w:p w14:paraId="725DAB7C" w14:textId="3B9BC155" w:rsidR="00EE2C15" w:rsidRDefault="00EE2C15">
      <w:pPr>
        <w:rPr>
          <w:rFonts w:ascii="Arial" w:hAnsi="Arial" w:cs="Arial"/>
          <w:sz w:val="24"/>
          <w:szCs w:val="24"/>
          <w:lang w:val="fr-LU"/>
        </w:rPr>
      </w:pPr>
    </w:p>
    <w:p w14:paraId="150E56D5" w14:textId="0954E12F" w:rsidR="00ED5510" w:rsidRPr="000C289E" w:rsidRDefault="00ED5510"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Pour des fonds situés dans le plan directeur sectoriel « logement »</w:t>
      </w:r>
      <w:r w:rsidR="00BF6828" w:rsidRPr="00BF6828">
        <w:rPr>
          <w:rStyle w:val="FootnoteReference"/>
          <w:rFonts w:ascii="Arial" w:hAnsi="Arial" w:cs="Arial"/>
          <w:b/>
          <w:color w:val="70AD47" w:themeColor="accent6"/>
          <w:sz w:val="24"/>
          <w:szCs w:val="24"/>
          <w:lang w:val="fr-LU"/>
        </w:rPr>
        <w:t xml:space="preserve"> </w:t>
      </w:r>
      <w:r w:rsidR="00BF6828" w:rsidRPr="000C289E">
        <w:rPr>
          <w:rStyle w:val="FootnoteReference"/>
          <w:rFonts w:ascii="Arial" w:hAnsi="Arial" w:cs="Arial"/>
          <w:b/>
          <w:color w:val="70AD47" w:themeColor="accent6"/>
          <w:sz w:val="24"/>
          <w:szCs w:val="24"/>
          <w:lang w:val="fr-LU"/>
        </w:rPr>
        <w:footnoteReference w:id="4"/>
      </w:r>
    </w:p>
    <w:p w14:paraId="3FF875FE" w14:textId="30B7B53C" w:rsidR="007A3AF3" w:rsidRPr="000C289E" w:rsidRDefault="000C289E" w:rsidP="000C289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Pr>
          <w:rFonts w:ascii="Arial" w:hAnsi="Arial" w:cs="Arial"/>
          <w:b/>
          <w:color w:val="70AD47" w:themeColor="accent6"/>
          <w:sz w:val="24"/>
          <w:szCs w:val="24"/>
          <w:u w:val="single"/>
          <w:lang w:val="fr-LU"/>
        </w:rPr>
        <w:t>1</w:t>
      </w:r>
      <w:r w:rsidRPr="000C289E">
        <w:rPr>
          <w:rFonts w:ascii="Arial" w:hAnsi="Arial" w:cs="Arial"/>
          <w:b/>
          <w:color w:val="70AD47" w:themeColor="accent6"/>
          <w:sz w:val="24"/>
          <w:szCs w:val="24"/>
          <w:u w:val="single"/>
          <w:vertAlign w:val="superscript"/>
          <w:lang w:val="fr-LU"/>
        </w:rPr>
        <w:t>er</w:t>
      </w:r>
      <w:r>
        <w:rPr>
          <w:rFonts w:ascii="Arial" w:hAnsi="Arial" w:cs="Arial"/>
          <w:b/>
          <w:color w:val="70AD47" w:themeColor="accent6"/>
          <w:sz w:val="24"/>
          <w:szCs w:val="24"/>
          <w:u w:val="single"/>
          <w:lang w:val="fr-LU"/>
        </w:rPr>
        <w:t xml:space="preserve"> 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f</w:t>
      </w:r>
      <w:r w:rsidR="00ED5510" w:rsidRPr="000C289E">
        <w:rPr>
          <w:rFonts w:ascii="Arial" w:hAnsi="Arial" w:cs="Arial"/>
          <w:color w:val="70AD47" w:themeColor="accent6"/>
          <w:sz w:val="24"/>
          <w:szCs w:val="24"/>
          <w:lang w:val="fr-LU"/>
        </w:rPr>
        <w:t xml:space="preserve">ixation d’une contrepartie complémentaire facultative sous forme </w:t>
      </w:r>
      <w:r w:rsidRPr="000C289E">
        <w:rPr>
          <w:rFonts w:ascii="Arial" w:hAnsi="Arial" w:cs="Arial"/>
          <w:i/>
          <w:color w:val="70AD47" w:themeColor="accent6"/>
          <w:sz w:val="24"/>
          <w:szCs w:val="24"/>
          <w:lang w:val="fr-LU"/>
        </w:rPr>
        <w:t>pécuniaire</w:t>
      </w:r>
    </w:p>
    <w:p w14:paraId="03D6E5D2" w14:textId="77777777" w:rsidR="0000718C" w:rsidRPr="000C289E" w:rsidRDefault="0000718C" w:rsidP="0000718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lastRenderedPageBreak/>
        <w:t>Pour des fonds situés dans le plan directeur sectoriel « logement »</w:t>
      </w:r>
      <w:r w:rsidRPr="00BF6828">
        <w:rPr>
          <w:rStyle w:val="FootnoteReference"/>
          <w:rFonts w:ascii="Arial" w:hAnsi="Arial" w:cs="Arial"/>
          <w:b/>
          <w:color w:val="70AD47" w:themeColor="accent6"/>
          <w:sz w:val="24"/>
          <w:szCs w:val="24"/>
          <w:lang w:val="fr-LU"/>
        </w:rPr>
        <w:t xml:space="preserve"> </w:t>
      </w:r>
      <w:r w:rsidRPr="000C289E">
        <w:rPr>
          <w:rStyle w:val="FootnoteReference"/>
          <w:rFonts w:ascii="Arial" w:hAnsi="Arial" w:cs="Arial"/>
          <w:b/>
          <w:color w:val="70AD47" w:themeColor="accent6"/>
          <w:sz w:val="24"/>
          <w:szCs w:val="24"/>
          <w:lang w:val="fr-LU"/>
        </w:rPr>
        <w:footnoteReference w:id="5"/>
      </w:r>
    </w:p>
    <w:p w14:paraId="663B6CB9" w14:textId="77777777" w:rsidR="0000718C" w:rsidRPr="000C289E" w:rsidRDefault="0000718C" w:rsidP="0000718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Pr>
          <w:rFonts w:ascii="Arial" w:hAnsi="Arial" w:cs="Arial"/>
          <w:b/>
          <w:color w:val="70AD47" w:themeColor="accent6"/>
          <w:sz w:val="24"/>
          <w:szCs w:val="24"/>
          <w:u w:val="single"/>
          <w:lang w:val="fr-LU"/>
        </w:rPr>
        <w:t>1</w:t>
      </w:r>
      <w:r w:rsidRPr="000C289E">
        <w:rPr>
          <w:rFonts w:ascii="Arial" w:hAnsi="Arial" w:cs="Arial"/>
          <w:b/>
          <w:color w:val="70AD47" w:themeColor="accent6"/>
          <w:sz w:val="24"/>
          <w:szCs w:val="24"/>
          <w:u w:val="single"/>
          <w:vertAlign w:val="superscript"/>
          <w:lang w:val="fr-LU"/>
        </w:rPr>
        <w:t>er</w:t>
      </w:r>
      <w:r>
        <w:rPr>
          <w:rFonts w:ascii="Arial" w:hAnsi="Arial" w:cs="Arial"/>
          <w:b/>
          <w:color w:val="70AD47" w:themeColor="accent6"/>
          <w:sz w:val="24"/>
          <w:szCs w:val="24"/>
          <w:u w:val="single"/>
          <w:lang w:val="fr-LU"/>
        </w:rPr>
        <w:t xml:space="preserve"> 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f</w:t>
      </w:r>
      <w:r w:rsidRPr="000C289E">
        <w:rPr>
          <w:rFonts w:ascii="Arial" w:hAnsi="Arial" w:cs="Arial"/>
          <w:color w:val="70AD47" w:themeColor="accent6"/>
          <w:sz w:val="24"/>
          <w:szCs w:val="24"/>
          <w:lang w:val="fr-LU"/>
        </w:rPr>
        <w:t xml:space="preserve">ixation d’une contrepartie complémentaire facultative sous forme </w:t>
      </w:r>
      <w:r w:rsidRPr="000C289E">
        <w:rPr>
          <w:rFonts w:ascii="Arial" w:hAnsi="Arial" w:cs="Arial"/>
          <w:i/>
          <w:color w:val="70AD47" w:themeColor="accent6"/>
          <w:sz w:val="24"/>
          <w:szCs w:val="24"/>
          <w:lang w:val="fr-LU"/>
        </w:rPr>
        <w:t>pécuniaire</w:t>
      </w:r>
    </w:p>
    <w:p w14:paraId="10C6E155" w14:textId="77777777" w:rsidR="0000718C" w:rsidRPr="000C289E" w:rsidRDefault="0000718C" w:rsidP="0000718C">
      <w:pPr>
        <w:spacing w:line="276" w:lineRule="auto"/>
        <w:jc w:val="both"/>
        <w:rPr>
          <w:rFonts w:ascii="Arial" w:hAnsi="Arial" w:cs="Arial"/>
          <w:b/>
          <w:color w:val="70AD47" w:themeColor="accent6"/>
          <w:sz w:val="24"/>
          <w:szCs w:val="24"/>
          <w:lang w:val="fr-LU"/>
        </w:rPr>
      </w:pPr>
      <w:r>
        <w:rPr>
          <w:rFonts w:ascii="Arial" w:hAnsi="Arial" w:cs="Arial"/>
          <w:b/>
          <w:color w:val="70AD47" w:themeColor="accent6"/>
          <w:sz w:val="24"/>
          <w:szCs w:val="24"/>
          <w:lang w:val="fr-LU"/>
        </w:rPr>
        <w:br/>
      </w:r>
      <w:r w:rsidRPr="000C289E">
        <w:rPr>
          <w:rFonts w:ascii="Arial" w:hAnsi="Arial" w:cs="Arial"/>
          <w:b/>
          <w:color w:val="70AD47" w:themeColor="accent6"/>
          <w:sz w:val="24"/>
          <w:szCs w:val="24"/>
          <w:lang w:val="fr-LU"/>
        </w:rPr>
        <w:t xml:space="preserve">Article 6. Contrepartie complémentaire sous forme </w:t>
      </w:r>
      <w:r>
        <w:rPr>
          <w:rFonts w:ascii="Arial" w:hAnsi="Arial" w:cs="Arial"/>
          <w:b/>
          <w:color w:val="70AD47" w:themeColor="accent6"/>
          <w:sz w:val="24"/>
          <w:szCs w:val="24"/>
          <w:lang w:val="fr-LU"/>
        </w:rPr>
        <w:t>pécuniaire</w:t>
      </w:r>
      <w:r w:rsidRPr="000C289E">
        <w:rPr>
          <w:rFonts w:ascii="Arial" w:hAnsi="Arial" w:cs="Arial"/>
          <w:b/>
          <w:color w:val="70AD47" w:themeColor="accent6"/>
          <w:sz w:val="24"/>
          <w:szCs w:val="24"/>
          <w:lang w:val="fr-LU"/>
        </w:rPr>
        <w:t xml:space="preserve"> dans le cadre de l’application du plan directeur sectoriel « logement » </w:t>
      </w:r>
    </w:p>
    <w:p w14:paraId="38BF317A" w14:textId="77777777" w:rsidR="0000718C" w:rsidRPr="000C289E" w:rsidRDefault="0000718C" w:rsidP="0000718C">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 xml:space="preserve">En application de l’article 11(2), 9°, b), de la loi modifiée du 17 avril 2018 concernant l’aménagement du territoire, les parties conviennent de fixer une contrepartie complémentaire </w:t>
      </w:r>
      <w:r>
        <w:rPr>
          <w:rFonts w:ascii="Arial" w:hAnsi="Arial" w:cs="Arial"/>
          <w:color w:val="70AD47" w:themeColor="accent6"/>
          <w:sz w:val="24"/>
          <w:szCs w:val="24"/>
          <w:lang w:val="fr-LU"/>
        </w:rPr>
        <w:t xml:space="preserve">sous forme pécuniaire </w:t>
      </w:r>
      <w:r w:rsidRPr="000C289E">
        <w:rPr>
          <w:rFonts w:ascii="Arial" w:hAnsi="Arial" w:cs="Arial"/>
          <w:color w:val="70AD47" w:themeColor="accent6"/>
          <w:sz w:val="24"/>
          <w:szCs w:val="24"/>
          <w:lang w:val="fr-LU"/>
        </w:rPr>
        <w:t xml:space="preserve">pour la part de la surface construite brute supplémentaire à réserver à la réalisation de logements abordables en vertu de cette disposition. </w:t>
      </w:r>
    </w:p>
    <w:p w14:paraId="19D9E69F" w14:textId="77777777" w:rsidR="0000718C" w:rsidRDefault="0000718C" w:rsidP="0000718C">
      <w:pPr>
        <w:spacing w:line="276" w:lineRule="auto"/>
        <w:jc w:val="both"/>
        <w:rPr>
          <w:rFonts w:ascii="Arial" w:hAnsi="Arial" w:cs="Arial"/>
          <w:color w:val="70AD47" w:themeColor="accent6"/>
          <w:sz w:val="24"/>
          <w:szCs w:val="24"/>
          <w:lang w:val="fr-LU"/>
        </w:rPr>
      </w:pPr>
      <w:r w:rsidRPr="000C289E">
        <w:rPr>
          <w:rFonts w:ascii="Arial" w:hAnsi="Arial" w:cs="Arial"/>
          <w:color w:val="70AD47" w:themeColor="accent6"/>
          <w:sz w:val="24"/>
          <w:szCs w:val="24"/>
          <w:lang w:val="fr-LU"/>
        </w:rPr>
        <w:t>Les parties s’accordent à fixer cette contrepartie au montant de …</w:t>
      </w:r>
    </w:p>
    <w:p w14:paraId="5771184F" w14:textId="77777777" w:rsidR="0000718C" w:rsidRDefault="0000718C" w:rsidP="0000718C">
      <w:pPr>
        <w:spacing w:line="276" w:lineRule="auto"/>
        <w:jc w:val="both"/>
        <w:rPr>
          <w:rFonts w:ascii="Arial" w:hAnsi="Arial" w:cs="Arial"/>
          <w:color w:val="5B9BD5" w:themeColor="accent1"/>
          <w:sz w:val="24"/>
          <w:szCs w:val="24"/>
          <w:lang w:val="fr-LU"/>
        </w:rPr>
      </w:pPr>
    </w:p>
    <w:p w14:paraId="28BE7188" w14:textId="77777777" w:rsidR="0000718C" w:rsidRPr="00D422EB" w:rsidRDefault="0000718C" w:rsidP="0000718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vertAlign w:val="superscript"/>
          <w:lang w:val="fr-LU"/>
        </w:rPr>
      </w:pPr>
      <w:r w:rsidRPr="00D422EB">
        <w:rPr>
          <w:rFonts w:ascii="Arial" w:hAnsi="Arial" w:cs="Arial"/>
          <w:color w:val="5B9BD5" w:themeColor="accent1"/>
          <w:sz w:val="24"/>
          <w:szCs w:val="24"/>
          <w:lang w:val="fr-LU"/>
        </w:rPr>
        <w:t>Pour des fonds situés dans le plan directeur sectoriel « logement »</w:t>
      </w:r>
      <w:r w:rsidRPr="00D422EB">
        <w:rPr>
          <w:rStyle w:val="FootnoteReference"/>
          <w:rFonts w:ascii="Arial" w:hAnsi="Arial" w:cs="Arial"/>
          <w:b/>
          <w:color w:val="5B9BD5" w:themeColor="accent1"/>
          <w:sz w:val="24"/>
          <w:szCs w:val="24"/>
          <w:lang w:val="fr-LU"/>
        </w:rPr>
        <w:t xml:space="preserve"> </w:t>
      </w:r>
      <w:r w:rsidRPr="00D422EB">
        <w:rPr>
          <w:rFonts w:ascii="Arial" w:hAnsi="Arial" w:cs="Arial"/>
          <w:b/>
          <w:color w:val="5B9BD5" w:themeColor="accent1"/>
          <w:sz w:val="24"/>
          <w:szCs w:val="24"/>
          <w:vertAlign w:val="superscript"/>
          <w:lang w:val="fr-LU"/>
        </w:rPr>
        <w:t>4</w:t>
      </w:r>
    </w:p>
    <w:p w14:paraId="2D163849" w14:textId="77777777" w:rsidR="0000718C" w:rsidRPr="00D422EB" w:rsidRDefault="0000718C" w:rsidP="0000718C">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5B9BD5" w:themeColor="accent1"/>
          <w:sz w:val="24"/>
          <w:szCs w:val="24"/>
          <w:lang w:val="fr-LU"/>
        </w:rPr>
      </w:pPr>
      <w:r w:rsidRPr="00D422EB">
        <w:rPr>
          <w:rFonts w:ascii="Arial" w:hAnsi="Arial" w:cs="Arial"/>
          <w:b/>
          <w:color w:val="5B9BD5" w:themeColor="accent1"/>
          <w:sz w:val="24"/>
          <w:szCs w:val="24"/>
          <w:u w:val="single"/>
          <w:lang w:val="fr-LU"/>
        </w:rPr>
        <w:t>2</w:t>
      </w:r>
      <w:r w:rsidRPr="00D422EB">
        <w:rPr>
          <w:rFonts w:ascii="Arial" w:hAnsi="Arial" w:cs="Arial"/>
          <w:b/>
          <w:color w:val="5B9BD5" w:themeColor="accent1"/>
          <w:sz w:val="24"/>
          <w:szCs w:val="24"/>
          <w:u w:val="single"/>
          <w:vertAlign w:val="superscript"/>
          <w:lang w:val="fr-LU"/>
        </w:rPr>
        <w:t>e</w:t>
      </w:r>
      <w:r w:rsidRPr="00D422EB">
        <w:rPr>
          <w:rFonts w:ascii="Arial" w:hAnsi="Arial" w:cs="Arial"/>
          <w:b/>
          <w:color w:val="5B9BD5" w:themeColor="accent1"/>
          <w:sz w:val="24"/>
          <w:szCs w:val="24"/>
          <w:u w:val="single"/>
          <w:lang w:val="fr-LU"/>
        </w:rPr>
        <w:t xml:space="preserve"> cas de figure :</w:t>
      </w:r>
      <w:r w:rsidRPr="00D422EB">
        <w:rPr>
          <w:rFonts w:ascii="Arial" w:hAnsi="Arial" w:cs="Arial"/>
          <w:b/>
          <w:color w:val="5B9BD5" w:themeColor="accent1"/>
          <w:sz w:val="24"/>
          <w:szCs w:val="24"/>
          <w:lang w:val="fr-LU"/>
        </w:rPr>
        <w:t xml:space="preserve"> </w:t>
      </w:r>
      <w:r w:rsidRPr="00D422EB">
        <w:rPr>
          <w:rFonts w:ascii="Arial" w:hAnsi="Arial" w:cs="Arial"/>
          <w:color w:val="5B9BD5" w:themeColor="accent1"/>
          <w:sz w:val="24"/>
          <w:szCs w:val="24"/>
          <w:lang w:val="fr-LU"/>
        </w:rPr>
        <w:t>aucune contrepartie complémentaire n’est fixée</w:t>
      </w:r>
    </w:p>
    <w:p w14:paraId="487A261B" w14:textId="77777777" w:rsidR="0000718C" w:rsidRPr="00D422EB" w:rsidRDefault="0000718C" w:rsidP="0000718C">
      <w:pPr>
        <w:spacing w:line="276" w:lineRule="auto"/>
        <w:jc w:val="both"/>
        <w:rPr>
          <w:rFonts w:ascii="Arial" w:hAnsi="Arial" w:cs="Arial"/>
          <w:b/>
          <w:color w:val="5B9BD5" w:themeColor="accent1"/>
          <w:sz w:val="24"/>
          <w:szCs w:val="24"/>
          <w:lang w:val="fr-LU"/>
        </w:rPr>
      </w:pPr>
      <w:r w:rsidRPr="00D422EB">
        <w:rPr>
          <w:rFonts w:ascii="Arial" w:hAnsi="Arial" w:cs="Arial"/>
          <w:b/>
          <w:color w:val="5B9BD5" w:themeColor="accent1"/>
          <w:sz w:val="24"/>
          <w:szCs w:val="24"/>
          <w:lang w:val="fr-LU"/>
        </w:rPr>
        <w:br/>
        <w:t xml:space="preserve">Article 6. Absence de contrepartie complémentaire dans le cadre de l’application du plan directeur sectoriel « logement » </w:t>
      </w:r>
    </w:p>
    <w:p w14:paraId="1114AEA1" w14:textId="77777777" w:rsidR="0000718C" w:rsidRPr="00D422EB" w:rsidRDefault="0000718C" w:rsidP="0000718C">
      <w:pPr>
        <w:spacing w:line="276" w:lineRule="auto"/>
        <w:jc w:val="both"/>
        <w:rPr>
          <w:rFonts w:ascii="Arial" w:hAnsi="Arial" w:cs="Arial"/>
          <w:color w:val="5B9BD5" w:themeColor="accent1"/>
          <w:sz w:val="24"/>
          <w:szCs w:val="24"/>
          <w:lang w:val="fr-LU"/>
        </w:rPr>
      </w:pPr>
      <w:r w:rsidRPr="00D422EB">
        <w:rPr>
          <w:rFonts w:ascii="Arial" w:hAnsi="Arial" w:cs="Arial"/>
          <w:color w:val="5B9BD5" w:themeColor="accent1"/>
          <w:sz w:val="24"/>
          <w:szCs w:val="24"/>
          <w:lang w:val="fr-LU"/>
        </w:rPr>
        <w:t xml:space="preserve">En application de l’article 11(2), 9°, b), de la loi modifiée du 17 avril 2018 concernant l’aménagement du territoire, les parties déclarent de renoncer à la fixation d’une contrepartie complémentaire pour la part de la surface construite brute supplémentaire à réserver à la réalisation de logements abordables en vertu de cette disposition. </w:t>
      </w:r>
    </w:p>
    <w:p w14:paraId="2CDFAB7E" w14:textId="77777777" w:rsidR="00855F2D" w:rsidRDefault="00855F2D">
      <w:pPr>
        <w:rPr>
          <w:rFonts w:ascii="Arial" w:hAnsi="Arial" w:cs="Arial"/>
          <w:b/>
          <w:sz w:val="24"/>
          <w:szCs w:val="24"/>
          <w:lang w:val="fr-LU"/>
        </w:rPr>
      </w:pPr>
      <w:r>
        <w:rPr>
          <w:rFonts w:ascii="Arial" w:hAnsi="Arial" w:cs="Arial"/>
          <w:b/>
          <w:sz w:val="24"/>
          <w:szCs w:val="24"/>
          <w:lang w:val="fr-LU"/>
        </w:rPr>
        <w:br w:type="page"/>
      </w:r>
    </w:p>
    <w:p w14:paraId="61B4CDA8" w14:textId="1444C253" w:rsidR="007A263F" w:rsidRPr="00A65E05" w:rsidRDefault="006D7835" w:rsidP="00A10D36">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Article 7</w:t>
      </w:r>
      <w:r w:rsidR="007A263F" w:rsidRPr="00A65E05">
        <w:rPr>
          <w:rFonts w:ascii="Arial" w:hAnsi="Arial" w:cs="Arial"/>
          <w:b/>
          <w:sz w:val="24"/>
          <w:szCs w:val="24"/>
          <w:lang w:val="fr-LU"/>
        </w:rPr>
        <w:t>. Modalités de paiement</w:t>
      </w:r>
      <w:r w:rsidR="00C41CB9" w:rsidRPr="00A65E05">
        <w:rPr>
          <w:rFonts w:ascii="Arial" w:hAnsi="Arial" w:cs="Arial"/>
          <w:b/>
          <w:sz w:val="24"/>
          <w:szCs w:val="24"/>
          <w:lang w:val="fr-LU"/>
        </w:rPr>
        <w:t xml:space="preserve"> </w:t>
      </w:r>
      <w:r w:rsidR="00BA2135" w:rsidRPr="00A65E05">
        <w:rPr>
          <w:rFonts w:ascii="Arial" w:hAnsi="Arial" w:cs="Arial"/>
          <w:b/>
          <w:sz w:val="24"/>
          <w:szCs w:val="24"/>
          <w:lang w:val="fr-LU"/>
        </w:rPr>
        <w:t>du prix</w:t>
      </w:r>
      <w:r w:rsidR="00C41CB9" w:rsidRPr="00A65E05">
        <w:rPr>
          <w:rFonts w:ascii="Arial" w:hAnsi="Arial" w:cs="Arial"/>
          <w:b/>
          <w:sz w:val="24"/>
          <w:szCs w:val="24"/>
          <w:lang w:val="fr-LU"/>
        </w:rPr>
        <w:t xml:space="preserve"> des logements abordables</w:t>
      </w:r>
    </w:p>
    <w:p w14:paraId="70427DB2" w14:textId="7C43B1B0"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à l’article 1601-9 du Code civil, </w:t>
      </w:r>
      <w:r w:rsidR="00BA2135" w:rsidRPr="00A65E05">
        <w:rPr>
          <w:rFonts w:ascii="Arial" w:hAnsi="Arial" w:cs="Arial"/>
          <w:sz w:val="24"/>
          <w:szCs w:val="24"/>
          <w:lang w:val="fr-LU"/>
        </w:rPr>
        <w:t>il ne peut être exigé</w:t>
      </w:r>
      <w:r w:rsidRPr="00A65E05">
        <w:rPr>
          <w:rFonts w:ascii="Arial" w:hAnsi="Arial" w:cs="Arial"/>
          <w:sz w:val="24"/>
          <w:szCs w:val="24"/>
          <w:lang w:val="fr-LU"/>
        </w:rPr>
        <w:t xml:space="preserve"> aucun versement, aucun dépôt, aucune souscription ou acceptation d'effets de commerce avant la signature </w:t>
      </w:r>
      <w:r w:rsidR="00BA2135" w:rsidRPr="00A65E05">
        <w:rPr>
          <w:rFonts w:ascii="Arial" w:hAnsi="Arial" w:cs="Arial"/>
          <w:sz w:val="24"/>
          <w:szCs w:val="24"/>
          <w:lang w:val="fr-LU"/>
        </w:rPr>
        <w:t>de l’acte notarié</w:t>
      </w:r>
      <w:r w:rsidRPr="00A65E05">
        <w:rPr>
          <w:rFonts w:ascii="Arial" w:hAnsi="Arial" w:cs="Arial"/>
          <w:sz w:val="24"/>
          <w:szCs w:val="24"/>
          <w:lang w:val="fr-LU"/>
        </w:rPr>
        <w:t>, ni avant la date à laquelle la créance est exigible.</w:t>
      </w:r>
    </w:p>
    <w:p w14:paraId="41DD036F" w14:textId="4407957E"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w:t>
      </w:r>
      <w:r w:rsidR="00BA2135" w:rsidRPr="00A65E05">
        <w:rPr>
          <w:rFonts w:ascii="Arial" w:hAnsi="Arial" w:cs="Arial"/>
          <w:sz w:val="24"/>
          <w:szCs w:val="24"/>
          <w:lang w:val="fr-LU"/>
        </w:rPr>
        <w:t xml:space="preserve">vant le début des travaux, il ne peut être exigé </w:t>
      </w:r>
      <w:r w:rsidRPr="00A65E05">
        <w:rPr>
          <w:rFonts w:ascii="Arial" w:hAnsi="Arial" w:cs="Arial"/>
          <w:sz w:val="24"/>
          <w:szCs w:val="24"/>
          <w:lang w:val="fr-LU"/>
        </w:rPr>
        <w:t xml:space="preserve">aucune avance sur les constructions projetées. </w:t>
      </w:r>
      <w:r w:rsidR="00BA2135" w:rsidRPr="00A65E05">
        <w:rPr>
          <w:rFonts w:ascii="Arial" w:hAnsi="Arial" w:cs="Arial"/>
          <w:sz w:val="24"/>
          <w:szCs w:val="24"/>
          <w:lang w:val="fr-LU"/>
        </w:rPr>
        <w:t>Seul</w:t>
      </w:r>
      <w:r w:rsidRPr="00A65E05">
        <w:rPr>
          <w:rFonts w:ascii="Arial" w:hAnsi="Arial" w:cs="Arial"/>
          <w:sz w:val="24"/>
          <w:szCs w:val="24"/>
          <w:lang w:val="fr-LU"/>
        </w:rPr>
        <w:t xml:space="preserve"> le paiement du prix correspondant à la valeur des éléments d'équipement existants</w:t>
      </w:r>
      <w:r w:rsidR="00BA2135" w:rsidRPr="00A65E05">
        <w:rPr>
          <w:rFonts w:ascii="Arial" w:hAnsi="Arial" w:cs="Arial"/>
          <w:sz w:val="24"/>
          <w:szCs w:val="24"/>
          <w:lang w:val="fr-LU"/>
        </w:rPr>
        <w:t xml:space="preserve"> peut être demandé</w:t>
      </w:r>
      <w:r w:rsidRPr="00A65E05">
        <w:rPr>
          <w:rFonts w:ascii="Arial" w:hAnsi="Arial" w:cs="Arial"/>
          <w:sz w:val="24"/>
          <w:szCs w:val="24"/>
          <w:lang w:val="fr-LU"/>
        </w:rPr>
        <w:t xml:space="preserve">. </w:t>
      </w:r>
    </w:p>
    <w:p w14:paraId="56D99735" w14:textId="77777777"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Après le début des travaux, les versements afférents à la construction ne deviennent exigibles qu'au fur et à mesure de l'avancement des travaux de façon à ce que les sommes payées correspondent à tout moment à l'importance des travaux réalisés.</w:t>
      </w:r>
    </w:p>
    <w:p w14:paraId="748ABCF1" w14:textId="3B72AC4D" w:rsidR="009339F4"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En aucun cas les paiements pour les constructions ne peuvent dépasser</w:t>
      </w:r>
      <w:r w:rsidR="002A3F11">
        <w:rPr>
          <w:rFonts w:ascii="Arial" w:hAnsi="Arial" w:cs="Arial"/>
          <w:sz w:val="24"/>
          <w:szCs w:val="24"/>
          <w:lang w:val="fr-LU"/>
        </w:rPr>
        <w:t xml:space="preserve"> </w:t>
      </w:r>
      <w:r w:rsidRPr="00A65E05">
        <w:rPr>
          <w:rFonts w:ascii="Arial" w:hAnsi="Arial" w:cs="Arial"/>
          <w:sz w:val="24"/>
          <w:szCs w:val="24"/>
          <w:lang w:val="fr-LU"/>
        </w:rPr>
        <w:t>:</w:t>
      </w:r>
    </w:p>
    <w:p w14:paraId="097F70F3" w14:textId="77777777" w:rsidR="00067599"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15% du prix total des constructions à l'achèvement des fondations à l'exception de celles relatives aux garages et autres dépendances séparés de l'immeuble principal;</w:t>
      </w:r>
    </w:p>
    <w:p w14:paraId="791CD671" w14:textId="590D7517" w:rsidR="009339F4" w:rsidRPr="002A3F11" w:rsidRDefault="00067599"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 xml:space="preserve">1 </w:t>
      </w:r>
      <w:r w:rsidR="009339F4" w:rsidRPr="002A3F11">
        <w:rPr>
          <w:rFonts w:ascii="Arial" w:hAnsi="Arial" w:cs="Arial"/>
          <w:sz w:val="24"/>
          <w:szCs w:val="24"/>
          <w:lang w:val="fr-LU"/>
        </w:rPr>
        <w:t>quote-pa</w:t>
      </w:r>
      <w:r w:rsidR="00086838">
        <w:rPr>
          <w:rFonts w:ascii="Arial" w:hAnsi="Arial" w:cs="Arial"/>
          <w:sz w:val="24"/>
          <w:szCs w:val="24"/>
          <w:lang w:val="fr-LU"/>
        </w:rPr>
        <w:t>rt proportionnelle au nombre de</w:t>
      </w:r>
      <w:r w:rsidR="009339F4" w:rsidRPr="002A3F11">
        <w:rPr>
          <w:rFonts w:ascii="Arial" w:hAnsi="Arial" w:cs="Arial"/>
          <w:sz w:val="24"/>
          <w:szCs w:val="24"/>
          <w:lang w:val="fr-LU"/>
        </w:rPr>
        <w:t xml:space="preserve"> dalles à fournir entre les fondations et la toiture avec un maximum de 50% du prix total à l'achèvement de la dalle supérieure;</w:t>
      </w:r>
    </w:p>
    <w:p w14:paraId="625BA7C8" w14:textId="77777777" w:rsidR="009339F4" w:rsidRPr="002A3F11" w:rsidRDefault="009339F4" w:rsidP="002A3F11">
      <w:pPr>
        <w:pStyle w:val="ListParagraph"/>
        <w:numPr>
          <w:ilvl w:val="0"/>
          <w:numId w:val="16"/>
        </w:numPr>
        <w:spacing w:line="276" w:lineRule="auto"/>
        <w:jc w:val="both"/>
        <w:rPr>
          <w:rFonts w:ascii="Arial" w:hAnsi="Arial" w:cs="Arial"/>
          <w:sz w:val="24"/>
          <w:szCs w:val="24"/>
          <w:lang w:val="fr-LU"/>
        </w:rPr>
      </w:pPr>
      <w:r w:rsidRPr="002A3F11">
        <w:rPr>
          <w:rFonts w:ascii="Arial" w:hAnsi="Arial" w:cs="Arial"/>
          <w:sz w:val="24"/>
          <w:szCs w:val="24"/>
          <w:lang w:val="fr-LU"/>
        </w:rPr>
        <w:t>95% à l'achèvement de l'immeuble.</w:t>
      </w:r>
    </w:p>
    <w:p w14:paraId="714091E0" w14:textId="2C652649" w:rsidR="00BE690C" w:rsidRPr="00A65E05" w:rsidRDefault="009339F4"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Le solde est payable lors de la mise </w:t>
      </w:r>
      <w:r w:rsidR="008A16AA" w:rsidRPr="00A65E05">
        <w:rPr>
          <w:rFonts w:ascii="Arial" w:hAnsi="Arial" w:cs="Arial"/>
          <w:sz w:val="24"/>
          <w:szCs w:val="24"/>
          <w:lang w:val="fr-LU"/>
        </w:rPr>
        <w:t>à la disposition</w:t>
      </w:r>
      <w:r w:rsidR="00E46D66">
        <w:rPr>
          <w:rFonts w:ascii="Arial" w:hAnsi="Arial" w:cs="Arial"/>
          <w:sz w:val="24"/>
          <w:szCs w:val="24"/>
          <w:lang w:val="fr-LU"/>
        </w:rPr>
        <w:t xml:space="preserve"> des logements achevés et prêts à </w:t>
      </w:r>
      <w:r w:rsidR="00B70145">
        <w:rPr>
          <w:rFonts w:ascii="Arial" w:hAnsi="Arial" w:cs="Arial"/>
          <w:sz w:val="24"/>
          <w:szCs w:val="24"/>
          <w:lang w:val="fr-LU"/>
        </w:rPr>
        <w:t>l’</w:t>
      </w:r>
      <w:r w:rsidR="00E46D66">
        <w:rPr>
          <w:rFonts w:ascii="Arial" w:hAnsi="Arial" w:cs="Arial"/>
          <w:sz w:val="24"/>
          <w:szCs w:val="24"/>
          <w:lang w:val="fr-LU"/>
        </w:rPr>
        <w:t>occupation</w:t>
      </w:r>
      <w:r w:rsidR="008A16AA" w:rsidRPr="00A65E05">
        <w:rPr>
          <w:rFonts w:ascii="Arial" w:hAnsi="Arial" w:cs="Arial"/>
          <w:sz w:val="24"/>
          <w:szCs w:val="24"/>
          <w:lang w:val="fr-LU"/>
        </w:rPr>
        <w:t xml:space="preserve"> </w:t>
      </w:r>
      <w:r w:rsidR="00855F2D">
        <w:rPr>
          <w:rFonts w:ascii="Arial" w:hAnsi="Arial" w:cs="Arial"/>
          <w:sz w:val="24"/>
          <w:szCs w:val="24"/>
          <w:lang w:val="fr-LU"/>
        </w:rPr>
        <w:t>au FDL</w:t>
      </w:r>
      <w:r w:rsidRPr="00A65E05">
        <w:rPr>
          <w:rFonts w:ascii="Arial" w:hAnsi="Arial" w:cs="Arial"/>
          <w:sz w:val="24"/>
          <w:szCs w:val="24"/>
          <w:lang w:val="fr-LU"/>
        </w:rPr>
        <w:t>. Toutefois, il peut être consigné en cas de contestation sur la conformité avec les prévisions du contrat.</w:t>
      </w:r>
    </w:p>
    <w:p w14:paraId="55291FA2" w14:textId="188CE4E6" w:rsidR="00DF75BF" w:rsidRPr="00A65E05" w:rsidRDefault="00EE2C15" w:rsidP="00A10D3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Pr>
          <w:rFonts w:ascii="Arial" w:hAnsi="Arial" w:cs="Arial"/>
          <w:i/>
          <w:sz w:val="24"/>
          <w:szCs w:val="24"/>
          <w:lang w:val="fr-LU"/>
        </w:rPr>
        <w:br/>
      </w:r>
      <w:r w:rsidR="00DF75BF" w:rsidRPr="00A65E05">
        <w:rPr>
          <w:rFonts w:ascii="Arial" w:hAnsi="Arial" w:cs="Arial"/>
          <w:i/>
          <w:sz w:val="24"/>
          <w:szCs w:val="24"/>
          <w:lang w:val="fr-LU"/>
        </w:rPr>
        <w:t>Plan de paiement par tranches</w:t>
      </w:r>
      <w:r w:rsidR="00D16A5B">
        <w:rPr>
          <w:rFonts w:ascii="Arial" w:hAnsi="Arial" w:cs="Arial"/>
          <w:i/>
          <w:sz w:val="24"/>
          <w:szCs w:val="24"/>
          <w:lang w:val="fr-LU"/>
        </w:rPr>
        <w:t xml:space="preserve"> </w:t>
      </w:r>
      <w:r w:rsidR="00DF75BF" w:rsidRPr="00D16A5B">
        <w:rPr>
          <w:rFonts w:ascii="Arial" w:hAnsi="Arial" w:cs="Arial"/>
          <w:i/>
          <w:sz w:val="24"/>
          <w:szCs w:val="24"/>
          <w:lang w:val="fr-LU"/>
        </w:rPr>
        <w:t>:</w:t>
      </w:r>
      <w:r w:rsidR="00DE4B22">
        <w:rPr>
          <w:rFonts w:ascii="Arial" w:hAnsi="Arial" w:cs="Arial"/>
          <w:i/>
          <w:sz w:val="24"/>
          <w:szCs w:val="24"/>
          <w:lang w:val="fr-LU"/>
        </w:rPr>
        <w:t xml:space="preserve"> </w:t>
      </w:r>
      <w:r w:rsidR="00CC627E">
        <w:rPr>
          <w:rStyle w:val="FootnoteReference"/>
          <w:rFonts w:ascii="Arial" w:hAnsi="Arial" w:cs="Arial"/>
          <w:sz w:val="24"/>
          <w:szCs w:val="24"/>
          <w:lang w:val="fr-LU"/>
        </w:rPr>
        <w:footnoteReference w:id="6"/>
      </w:r>
    </w:p>
    <w:p w14:paraId="7D8F2668" w14:textId="28883B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1</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15%</w:t>
      </w:r>
      <w:r w:rsidRPr="00142F3E">
        <w:rPr>
          <w:rFonts w:ascii="Arial" w:hAnsi="Arial" w:cs="Arial"/>
          <w:sz w:val="24"/>
          <w:szCs w:val="24"/>
          <w:lang w:val="fr-LU"/>
        </w:rPr>
        <w:tab/>
        <w:t>au terrassement et radier</w:t>
      </w:r>
    </w:p>
    <w:p w14:paraId="77C16122" w14:textId="0B925ACE"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2</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dalle sur rez-de-chaussée</w:t>
      </w:r>
    </w:p>
    <w:p w14:paraId="50B85135" w14:textId="2265EDF7"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3</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fin du gros-œuvre</w:t>
      </w:r>
    </w:p>
    <w:p w14:paraId="4A1041D5" w14:textId="3E68CEE6"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4</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pose de la charpente et couverture</w:t>
      </w:r>
    </w:p>
    <w:p w14:paraId="6CBA7193" w14:textId="278BF10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5</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à la pose des menuiseries extérieures</w:t>
      </w:r>
    </w:p>
    <w:p w14:paraId="47A41581" w14:textId="049655AA"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6</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 façades</w:t>
      </w:r>
    </w:p>
    <w:p w14:paraId="7CD9CE80" w14:textId="407F54E2"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7</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10%</w:t>
      </w:r>
      <w:r w:rsidRPr="00142F3E">
        <w:rPr>
          <w:rFonts w:ascii="Arial" w:hAnsi="Arial" w:cs="Arial"/>
          <w:sz w:val="24"/>
          <w:szCs w:val="24"/>
          <w:lang w:val="fr-LU"/>
        </w:rPr>
        <w:tab/>
        <w:t>aux encastrements et réseaux techniques</w:t>
      </w:r>
    </w:p>
    <w:p w14:paraId="4AD40022" w14:textId="163F7AC0"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8</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25%</w:t>
      </w:r>
      <w:r w:rsidRPr="00142F3E">
        <w:rPr>
          <w:rFonts w:ascii="Arial" w:hAnsi="Arial" w:cs="Arial"/>
          <w:sz w:val="24"/>
          <w:szCs w:val="24"/>
          <w:lang w:val="fr-LU"/>
        </w:rPr>
        <w:tab/>
        <w:t>aux travaux de parachèvement et la pose des appareils HVAC</w:t>
      </w:r>
    </w:p>
    <w:p w14:paraId="4215E71A" w14:textId="4AF9EC4A" w:rsidR="002A3F11" w:rsidRPr="00142F3E"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t>Tranche 9</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aux travaux des aménagements extérieurs</w:t>
      </w:r>
    </w:p>
    <w:p w14:paraId="4B900499" w14:textId="21EEEFE6" w:rsidR="007A3AF3" w:rsidRPr="002A3F11" w:rsidRDefault="002A3F11" w:rsidP="002A3F11">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142F3E">
        <w:rPr>
          <w:rFonts w:ascii="Arial" w:hAnsi="Arial" w:cs="Arial"/>
          <w:sz w:val="24"/>
          <w:szCs w:val="24"/>
          <w:lang w:val="fr-LU"/>
        </w:rPr>
        <w:lastRenderedPageBreak/>
        <w:t>Tranche 10</w:t>
      </w:r>
      <w:r w:rsidR="00086838">
        <w:rPr>
          <w:rFonts w:ascii="Arial" w:hAnsi="Arial" w:cs="Arial"/>
          <w:sz w:val="24"/>
          <w:szCs w:val="24"/>
          <w:lang w:val="fr-LU"/>
        </w:rPr>
        <w:t xml:space="preserve"> </w:t>
      </w:r>
      <w:r w:rsidRPr="00142F3E">
        <w:rPr>
          <w:rFonts w:ascii="Arial" w:hAnsi="Arial" w:cs="Arial"/>
          <w:sz w:val="24"/>
          <w:szCs w:val="24"/>
          <w:lang w:val="fr-LU"/>
        </w:rPr>
        <w:t>:</w:t>
      </w:r>
      <w:r w:rsidRPr="00142F3E">
        <w:rPr>
          <w:rFonts w:ascii="Arial" w:hAnsi="Arial" w:cs="Arial"/>
          <w:sz w:val="24"/>
          <w:szCs w:val="24"/>
          <w:lang w:val="fr-LU"/>
        </w:rPr>
        <w:tab/>
        <w:t>5%</w:t>
      </w:r>
      <w:r w:rsidRPr="00142F3E">
        <w:rPr>
          <w:rFonts w:ascii="Arial" w:hAnsi="Arial" w:cs="Arial"/>
          <w:sz w:val="24"/>
          <w:szCs w:val="24"/>
          <w:lang w:val="fr-LU"/>
        </w:rPr>
        <w:tab/>
        <w:t>à la réception des travaux</w:t>
      </w:r>
    </w:p>
    <w:p w14:paraId="39BED0AB" w14:textId="77777777" w:rsidR="00EE2C15" w:rsidRDefault="00EE2C15" w:rsidP="00A10D36">
      <w:pPr>
        <w:jc w:val="both"/>
        <w:rPr>
          <w:rFonts w:ascii="Arial" w:hAnsi="Arial" w:cs="Arial"/>
          <w:b/>
          <w:sz w:val="24"/>
          <w:szCs w:val="24"/>
          <w:lang w:val="fr-LU"/>
        </w:rPr>
      </w:pPr>
    </w:p>
    <w:p w14:paraId="72187922" w14:textId="670B5B6A" w:rsidR="006C5BD3" w:rsidRPr="00A65E05" w:rsidRDefault="006D7835" w:rsidP="00A10D36">
      <w:pPr>
        <w:jc w:val="both"/>
        <w:rPr>
          <w:rFonts w:ascii="Arial" w:hAnsi="Arial" w:cs="Arial"/>
          <w:b/>
          <w:sz w:val="24"/>
          <w:szCs w:val="24"/>
          <w:lang w:val="fr-LU"/>
        </w:rPr>
      </w:pPr>
      <w:r w:rsidRPr="00A65E05">
        <w:rPr>
          <w:rFonts w:ascii="Arial" w:hAnsi="Arial" w:cs="Arial"/>
          <w:b/>
          <w:sz w:val="24"/>
          <w:szCs w:val="24"/>
          <w:lang w:val="fr-LU"/>
        </w:rPr>
        <w:t>Article 8</w:t>
      </w:r>
      <w:r w:rsidR="006C5BD3" w:rsidRPr="00A65E05">
        <w:rPr>
          <w:rFonts w:ascii="Arial" w:hAnsi="Arial" w:cs="Arial"/>
          <w:b/>
          <w:sz w:val="24"/>
          <w:szCs w:val="24"/>
          <w:lang w:val="fr-LU"/>
        </w:rPr>
        <w:t xml:space="preserve">. Cahier des charges et plans de </w:t>
      </w:r>
      <w:r w:rsidR="00003974" w:rsidRPr="00A65E05">
        <w:rPr>
          <w:rFonts w:ascii="Arial" w:hAnsi="Arial" w:cs="Arial"/>
          <w:b/>
          <w:sz w:val="24"/>
          <w:szCs w:val="24"/>
          <w:lang w:val="fr-LU"/>
        </w:rPr>
        <w:t>construction</w:t>
      </w:r>
    </w:p>
    <w:p w14:paraId="2FEBFAAC" w14:textId="57151EBA" w:rsidR="00AA527A" w:rsidRPr="00A65E05" w:rsidRDefault="00B3133A" w:rsidP="00A10D36">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complétée par</w:t>
      </w:r>
      <w:r w:rsidR="002E382E" w:rsidRPr="00A65E05">
        <w:rPr>
          <w:rFonts w:ascii="Arial" w:hAnsi="Arial" w:cs="Arial"/>
          <w:sz w:val="24"/>
          <w:szCs w:val="24"/>
          <w:lang w:val="fr-LU"/>
        </w:rPr>
        <w:t xml:space="preserve"> les documents suivants, qui en font partie intégrante</w:t>
      </w:r>
      <w:r w:rsidRPr="00A65E05">
        <w:rPr>
          <w:rFonts w:ascii="Arial" w:hAnsi="Arial" w:cs="Arial"/>
          <w:sz w:val="24"/>
          <w:szCs w:val="24"/>
          <w:lang w:val="fr-LU"/>
        </w:rPr>
        <w:t xml:space="preserve"> </w:t>
      </w:r>
      <w:r w:rsidR="003C1CCE" w:rsidRPr="00A65E05">
        <w:rPr>
          <w:rStyle w:val="FootnoteReference"/>
          <w:rFonts w:ascii="Arial" w:hAnsi="Arial" w:cs="Arial"/>
          <w:sz w:val="24"/>
          <w:szCs w:val="24"/>
          <w:lang w:val="fr-LU"/>
        </w:rPr>
        <w:footnoteReference w:id="7"/>
      </w:r>
      <w:r w:rsidR="003C1CCE" w:rsidRPr="00A65E05">
        <w:rPr>
          <w:rFonts w:ascii="Arial" w:hAnsi="Arial" w:cs="Arial"/>
          <w:sz w:val="24"/>
          <w:szCs w:val="24"/>
          <w:lang w:val="fr-LU"/>
        </w:rPr>
        <w:t xml:space="preserve"> </w:t>
      </w:r>
      <w:r w:rsidR="004E6B10" w:rsidRPr="00A65E05">
        <w:rPr>
          <w:rFonts w:ascii="Arial" w:hAnsi="Arial" w:cs="Arial"/>
          <w:sz w:val="24"/>
          <w:szCs w:val="24"/>
          <w:lang w:val="fr-LU"/>
        </w:rPr>
        <w:t>:</w:t>
      </w:r>
    </w:p>
    <w:p w14:paraId="0AFC72ED" w14:textId="3F6D3408" w:rsidR="00AA527A" w:rsidRPr="00A65E05" w:rsidRDefault="00B3133A" w:rsidP="00A10D36">
      <w:pPr>
        <w:pStyle w:val="ListParagraph"/>
        <w:numPr>
          <w:ilvl w:val="0"/>
          <w:numId w:val="3"/>
        </w:numPr>
        <w:spacing w:line="276" w:lineRule="auto"/>
        <w:ind w:left="714" w:hanging="357"/>
        <w:contextualSpacing w:val="0"/>
        <w:jc w:val="both"/>
        <w:rPr>
          <w:rFonts w:ascii="Arial" w:hAnsi="Arial" w:cs="Arial"/>
          <w:sz w:val="24"/>
          <w:szCs w:val="24"/>
          <w:lang w:val="fr-LU"/>
        </w:rPr>
      </w:pPr>
      <w:proofErr w:type="gramStart"/>
      <w:r w:rsidRPr="00A65E05">
        <w:rPr>
          <w:rFonts w:ascii="Arial" w:hAnsi="Arial" w:cs="Arial"/>
          <w:sz w:val="24"/>
          <w:szCs w:val="24"/>
          <w:lang w:val="fr-LU"/>
        </w:rPr>
        <w:t>l</w:t>
      </w:r>
      <w:r w:rsidR="00AA527A" w:rsidRPr="00A65E05">
        <w:rPr>
          <w:rFonts w:ascii="Arial" w:hAnsi="Arial" w:cs="Arial"/>
          <w:sz w:val="24"/>
          <w:szCs w:val="24"/>
          <w:lang w:val="fr-LU"/>
        </w:rPr>
        <w:t>es</w:t>
      </w:r>
      <w:proofErr w:type="gramEnd"/>
      <w:r w:rsidR="00AA527A" w:rsidRPr="00A65E05">
        <w:rPr>
          <w:rFonts w:ascii="Arial" w:hAnsi="Arial" w:cs="Arial"/>
          <w:sz w:val="24"/>
          <w:szCs w:val="24"/>
          <w:lang w:val="fr-LU"/>
        </w:rPr>
        <w:t xml:space="preserve"> plans de construction</w:t>
      </w:r>
      <w:r w:rsidR="00003974" w:rsidRPr="00A65E05">
        <w:rPr>
          <w:rFonts w:ascii="Arial" w:hAnsi="Arial" w:cs="Arial"/>
          <w:sz w:val="24"/>
          <w:szCs w:val="24"/>
          <w:lang w:val="fr-LU"/>
        </w:rPr>
        <w:t xml:space="preserve"> définitifs</w:t>
      </w:r>
      <w:r w:rsidR="00AB792E" w:rsidRPr="00A65E05">
        <w:rPr>
          <w:rFonts w:ascii="Arial" w:hAnsi="Arial" w:cs="Arial"/>
          <w:sz w:val="24"/>
          <w:szCs w:val="24"/>
          <w:lang w:val="fr-LU"/>
        </w:rPr>
        <w:t>,</w:t>
      </w:r>
      <w:r w:rsidR="00AA527A" w:rsidRPr="00A65E05">
        <w:rPr>
          <w:rFonts w:ascii="Arial" w:hAnsi="Arial" w:cs="Arial"/>
          <w:sz w:val="24"/>
          <w:szCs w:val="24"/>
          <w:lang w:val="fr-LU"/>
        </w:rPr>
        <w:t xml:space="preserve"> comprenant au moins les plans des façades, les plans des différents niveaux et un plan-coupe de l'immeuble avec les cotes utiles et l'indication des surfaces de chacune des pièces et des dégagements</w:t>
      </w:r>
      <w:r w:rsidR="00A54850" w:rsidRPr="00A65E05">
        <w:rPr>
          <w:rFonts w:ascii="Arial" w:hAnsi="Arial" w:cs="Arial"/>
          <w:sz w:val="24"/>
          <w:szCs w:val="24"/>
          <w:lang w:val="fr-LU"/>
        </w:rPr>
        <w:t xml:space="preserve"> </w:t>
      </w:r>
      <w:r w:rsidR="00AA527A" w:rsidRPr="00A65E05">
        <w:rPr>
          <w:rFonts w:ascii="Arial" w:hAnsi="Arial" w:cs="Arial"/>
          <w:sz w:val="24"/>
          <w:szCs w:val="24"/>
          <w:lang w:val="fr-LU"/>
        </w:rPr>
        <w:t>;</w:t>
      </w:r>
    </w:p>
    <w:p w14:paraId="4E82E883" w14:textId="768481F1" w:rsidR="00A70653" w:rsidRPr="00C65FBB" w:rsidRDefault="00A54850" w:rsidP="00C65FBB">
      <w:pPr>
        <w:pStyle w:val="ListParagraph"/>
        <w:numPr>
          <w:ilvl w:val="0"/>
          <w:numId w:val="3"/>
        </w:numPr>
        <w:spacing w:line="276" w:lineRule="auto"/>
        <w:ind w:left="714" w:hanging="357"/>
        <w:contextualSpacing w:val="0"/>
        <w:jc w:val="both"/>
        <w:rPr>
          <w:rFonts w:ascii="Arial" w:hAnsi="Arial" w:cs="Arial"/>
          <w:sz w:val="24"/>
          <w:szCs w:val="24"/>
          <w:lang w:val="fr-LU"/>
        </w:rPr>
      </w:pPr>
      <w:r w:rsidRPr="00A65E05">
        <w:rPr>
          <w:rFonts w:ascii="Arial" w:hAnsi="Arial" w:cs="Arial"/>
          <w:sz w:val="24"/>
          <w:szCs w:val="24"/>
          <w:lang w:val="fr-LU"/>
        </w:rPr>
        <w:t>le cahier des charges</w:t>
      </w:r>
      <w:r w:rsidR="00C65FBB">
        <w:rPr>
          <w:rStyle w:val="FootnoteReference"/>
          <w:rFonts w:ascii="Arial" w:hAnsi="Arial" w:cs="Arial"/>
          <w:sz w:val="24"/>
          <w:szCs w:val="24"/>
          <w:lang w:val="fr-LU"/>
        </w:rPr>
        <w:footnoteReference w:id="8"/>
      </w:r>
      <w:r w:rsidRPr="00A65E05">
        <w:rPr>
          <w:rFonts w:ascii="Arial" w:hAnsi="Arial" w:cs="Arial"/>
          <w:sz w:val="24"/>
          <w:szCs w:val="24"/>
          <w:lang w:val="fr-LU"/>
        </w:rPr>
        <w:t xml:space="preserve">, qui comprend les prix unitaires et </w:t>
      </w:r>
      <w:r w:rsidR="00AA527A" w:rsidRPr="00A65E05">
        <w:rPr>
          <w:rFonts w:ascii="Arial" w:hAnsi="Arial" w:cs="Arial"/>
          <w:sz w:val="24"/>
          <w:szCs w:val="24"/>
          <w:lang w:val="fr-LU"/>
        </w:rPr>
        <w:t>une notice descriptive indiquant la consistance, le niveau de finition et les caractéristiques techniques de l'immeuble ainsi que les matériaux à employer, les travaux à effectuer et les éléments d'équipement à installer</w:t>
      </w:r>
      <w:r w:rsidR="003C1CCE" w:rsidRPr="00A65E05">
        <w:rPr>
          <w:rFonts w:ascii="Arial" w:hAnsi="Arial" w:cs="Arial"/>
          <w:sz w:val="24"/>
          <w:szCs w:val="24"/>
          <w:lang w:val="fr-LU"/>
        </w:rPr>
        <w:t>.</w:t>
      </w:r>
    </w:p>
    <w:p w14:paraId="749431FD" w14:textId="77777777" w:rsidR="007A3AF3" w:rsidRPr="00A65E05" w:rsidRDefault="007A3AF3" w:rsidP="00A10D36">
      <w:pPr>
        <w:spacing w:line="276" w:lineRule="auto"/>
        <w:jc w:val="both"/>
        <w:rPr>
          <w:rFonts w:ascii="Arial" w:hAnsi="Arial" w:cs="Arial"/>
          <w:b/>
          <w:sz w:val="24"/>
          <w:szCs w:val="24"/>
          <w:lang w:val="fr-LU"/>
        </w:rPr>
      </w:pPr>
    </w:p>
    <w:p w14:paraId="7F37D0D7" w14:textId="26891916" w:rsidR="006C5BD3" w:rsidRPr="00A65E05" w:rsidRDefault="006C5BD3" w:rsidP="00A10D36">
      <w:pPr>
        <w:spacing w:line="276" w:lineRule="auto"/>
        <w:jc w:val="both"/>
        <w:rPr>
          <w:rFonts w:ascii="Arial" w:hAnsi="Arial" w:cs="Arial"/>
          <w:b/>
          <w:sz w:val="24"/>
          <w:szCs w:val="24"/>
          <w:lang w:val="fr-LU"/>
        </w:rPr>
      </w:pPr>
      <w:r w:rsidRPr="00A65E05">
        <w:rPr>
          <w:rFonts w:ascii="Arial" w:hAnsi="Arial" w:cs="Arial"/>
          <w:b/>
          <w:sz w:val="24"/>
          <w:szCs w:val="24"/>
          <w:lang w:val="fr-LU"/>
        </w:rPr>
        <w:t>Article</w:t>
      </w:r>
      <w:r w:rsidR="006D7835" w:rsidRPr="00A65E05">
        <w:rPr>
          <w:rFonts w:ascii="Arial" w:hAnsi="Arial" w:cs="Arial"/>
          <w:b/>
          <w:sz w:val="24"/>
          <w:szCs w:val="24"/>
          <w:lang w:val="fr-LU"/>
        </w:rPr>
        <w:t xml:space="preserve"> 9</w:t>
      </w:r>
      <w:r w:rsidRPr="00A65E05">
        <w:rPr>
          <w:rFonts w:ascii="Arial" w:hAnsi="Arial" w:cs="Arial"/>
          <w:b/>
          <w:sz w:val="24"/>
          <w:szCs w:val="24"/>
          <w:lang w:val="fr-LU"/>
        </w:rPr>
        <w:t>. Achèvement</w:t>
      </w:r>
    </w:p>
    <w:p w14:paraId="1B53C46A" w14:textId="77777777"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Conformément aux dispositions de l’article 1601-6 du Code civil, la réalisation des logements abordables est réputée achevée au sens des articles 1601-2 et 1601-9 du même code lorsque sont exécutés les ouvrages et sont installés les éléments d'équipement qui sont indispensables à l'utilisation, conformément à sa destination, de l'immeuble faisant l'objet du contrat. Pour l'appréciation de cet achèvement, les défauts de conformité avec les prévisions du contrat ne sont pas pris en considération lorsqu'ils n'ont pas un caractère substantiel, ni les malfaçons qui ne rendent pas les ouvrages ou éléments ci-dessus visés, impropres à leur utilisation.</w:t>
      </w:r>
    </w:p>
    <w:p w14:paraId="77A2D72B" w14:textId="3F7A87E0" w:rsidR="00855330" w:rsidRPr="00A65E05" w:rsidRDefault="00855330" w:rsidP="00A10D36">
      <w:pPr>
        <w:spacing w:line="276" w:lineRule="auto"/>
        <w:jc w:val="both"/>
        <w:rPr>
          <w:rFonts w:ascii="Arial" w:hAnsi="Arial" w:cs="Arial"/>
          <w:sz w:val="24"/>
          <w:szCs w:val="24"/>
          <w:lang w:val="fr-LU"/>
        </w:rPr>
      </w:pPr>
      <w:r w:rsidRPr="00A65E05">
        <w:rPr>
          <w:rFonts w:ascii="Arial" w:hAnsi="Arial" w:cs="Arial"/>
          <w:sz w:val="24"/>
          <w:szCs w:val="24"/>
          <w:lang w:val="fr-LU"/>
        </w:rPr>
        <w:t xml:space="preserve">La constatation de l'achèvement n'emporte par elle-même ni reconnaissance de la conformité aux prévisions du contrat, ni renonciation aux droits que </w:t>
      </w:r>
      <w:r w:rsidR="00186F91">
        <w:rPr>
          <w:rFonts w:ascii="Arial" w:hAnsi="Arial" w:cs="Arial"/>
          <w:sz w:val="24"/>
          <w:szCs w:val="24"/>
          <w:lang w:val="fr-LU"/>
        </w:rPr>
        <w:t>le FDL</w:t>
      </w:r>
      <w:r w:rsidRPr="00A65E05">
        <w:rPr>
          <w:rFonts w:ascii="Arial" w:hAnsi="Arial" w:cs="Arial"/>
          <w:sz w:val="24"/>
          <w:szCs w:val="24"/>
          <w:lang w:val="fr-LU"/>
        </w:rPr>
        <w:t xml:space="preserve"> tient de l'article 1642-1 du Code civil.</w:t>
      </w:r>
    </w:p>
    <w:p w14:paraId="3F489D43" w14:textId="1DD3EB3E" w:rsidR="002C63B1" w:rsidRDefault="002C63B1">
      <w:pPr>
        <w:rPr>
          <w:rFonts w:ascii="Arial" w:hAnsi="Arial" w:cs="Arial"/>
          <w:b/>
          <w:sz w:val="24"/>
          <w:szCs w:val="24"/>
          <w:lang w:val="fr-LU"/>
        </w:rPr>
      </w:pPr>
    </w:p>
    <w:p w14:paraId="6330FCA3" w14:textId="52526DBC" w:rsidR="00855330" w:rsidRPr="00A65E05" w:rsidRDefault="006D7835" w:rsidP="000C6920">
      <w:pPr>
        <w:tabs>
          <w:tab w:val="left" w:pos="2830"/>
        </w:tabs>
        <w:spacing w:line="276" w:lineRule="auto"/>
        <w:jc w:val="both"/>
        <w:rPr>
          <w:rFonts w:ascii="Arial" w:hAnsi="Arial" w:cs="Arial"/>
          <w:b/>
          <w:sz w:val="24"/>
          <w:szCs w:val="24"/>
          <w:lang w:val="fr-LU"/>
        </w:rPr>
      </w:pPr>
      <w:r w:rsidRPr="00A65E05">
        <w:rPr>
          <w:rFonts w:ascii="Arial" w:hAnsi="Arial" w:cs="Arial"/>
          <w:b/>
          <w:sz w:val="24"/>
          <w:szCs w:val="24"/>
          <w:lang w:val="fr-LU"/>
        </w:rPr>
        <w:t>Article 10</w:t>
      </w:r>
      <w:r w:rsidR="00855330" w:rsidRPr="00A65E05">
        <w:rPr>
          <w:rFonts w:ascii="Arial" w:hAnsi="Arial" w:cs="Arial"/>
          <w:b/>
          <w:sz w:val="24"/>
          <w:szCs w:val="24"/>
          <w:lang w:val="fr-LU"/>
        </w:rPr>
        <w:t xml:space="preserve">. </w:t>
      </w:r>
      <w:r w:rsidR="004217DA" w:rsidRPr="00A65E05">
        <w:rPr>
          <w:rFonts w:ascii="Arial" w:hAnsi="Arial" w:cs="Arial"/>
          <w:b/>
          <w:sz w:val="24"/>
          <w:szCs w:val="24"/>
          <w:lang w:val="fr-LU"/>
        </w:rPr>
        <w:t>Délais</w:t>
      </w:r>
    </w:p>
    <w:p w14:paraId="6958F0F3" w14:textId="73B993A5" w:rsidR="004217DA" w:rsidRPr="00A65E05" w:rsidRDefault="004217DA"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Les travaux débuteront au plus tard le …, à moins que l’autorisation de construire ne serait pas encore délivrée.</w:t>
      </w:r>
      <w:r w:rsidR="00086838">
        <w:rPr>
          <w:rFonts w:ascii="Arial" w:hAnsi="Arial" w:cs="Arial"/>
          <w:sz w:val="24"/>
          <w:szCs w:val="24"/>
          <w:lang w:val="fr-LU"/>
        </w:rPr>
        <w:t xml:space="preserve"> Dans ce cas, les travaux commen</w:t>
      </w:r>
      <w:r w:rsidRPr="00A65E05">
        <w:rPr>
          <w:rFonts w:ascii="Arial" w:hAnsi="Arial" w:cs="Arial"/>
          <w:sz w:val="24"/>
          <w:szCs w:val="24"/>
          <w:lang w:val="fr-LU"/>
        </w:rPr>
        <w:t xml:space="preserve">ceront au plus tard quatre semaines après la délivrance de l’autorisation de construire. </w:t>
      </w:r>
    </w:p>
    <w:p w14:paraId="14207E29" w14:textId="43EF6494" w:rsidR="00AC4117" w:rsidRPr="00A65E05" w:rsidRDefault="003B28A9" w:rsidP="000C6920">
      <w:pPr>
        <w:tabs>
          <w:tab w:val="left" w:pos="2830"/>
        </w:tabs>
        <w:spacing w:line="276" w:lineRule="auto"/>
        <w:jc w:val="both"/>
        <w:rPr>
          <w:rFonts w:ascii="Arial" w:hAnsi="Arial" w:cs="Arial"/>
          <w:sz w:val="24"/>
          <w:szCs w:val="24"/>
          <w:lang w:val="fr-LU"/>
        </w:rPr>
      </w:pPr>
      <w:r w:rsidRPr="00A65E05">
        <w:rPr>
          <w:rFonts w:ascii="Arial" w:hAnsi="Arial" w:cs="Arial"/>
          <w:sz w:val="24"/>
          <w:szCs w:val="24"/>
          <w:lang w:val="fr-LU"/>
        </w:rPr>
        <w:t>L</w:t>
      </w:r>
      <w:r w:rsidR="004217DA" w:rsidRPr="00A65E05">
        <w:rPr>
          <w:rFonts w:ascii="Arial" w:hAnsi="Arial" w:cs="Arial"/>
          <w:sz w:val="24"/>
          <w:szCs w:val="24"/>
          <w:lang w:val="fr-LU"/>
        </w:rPr>
        <w:t xml:space="preserve">es travaux </w:t>
      </w:r>
      <w:r w:rsidRPr="00A65E05">
        <w:rPr>
          <w:rFonts w:ascii="Arial" w:hAnsi="Arial" w:cs="Arial"/>
          <w:sz w:val="24"/>
          <w:szCs w:val="24"/>
          <w:lang w:val="fr-LU"/>
        </w:rPr>
        <w:t xml:space="preserve">et la cession </w:t>
      </w:r>
      <w:r w:rsidR="004217DA" w:rsidRPr="00A65E05">
        <w:rPr>
          <w:rFonts w:ascii="Arial" w:hAnsi="Arial" w:cs="Arial"/>
          <w:sz w:val="24"/>
          <w:szCs w:val="24"/>
          <w:lang w:val="fr-LU"/>
        </w:rPr>
        <w:t>s’e</w:t>
      </w:r>
      <w:r w:rsidRPr="00A65E05">
        <w:rPr>
          <w:rFonts w:ascii="Arial" w:hAnsi="Arial" w:cs="Arial"/>
          <w:sz w:val="24"/>
          <w:szCs w:val="24"/>
          <w:lang w:val="fr-LU"/>
        </w:rPr>
        <w:t>ffectueront</w:t>
      </w:r>
      <w:r w:rsidR="004217DA" w:rsidRPr="00A65E05">
        <w:rPr>
          <w:rFonts w:ascii="Arial" w:hAnsi="Arial" w:cs="Arial"/>
          <w:sz w:val="24"/>
          <w:szCs w:val="24"/>
          <w:lang w:val="fr-LU"/>
        </w:rPr>
        <w:t xml:space="preserve"> endéans un délai de … mois à partir du début des travaux</w:t>
      </w:r>
      <w:r w:rsidR="00AC4117" w:rsidRPr="00A65E05">
        <w:rPr>
          <w:rFonts w:ascii="Arial" w:hAnsi="Arial" w:cs="Arial"/>
          <w:sz w:val="24"/>
          <w:szCs w:val="24"/>
          <w:lang w:val="fr-LU"/>
        </w:rPr>
        <w:t>. Ce délai est suspendu durant les congés collectifs. Il pourra cependant être prorogé si par force majeure le Propriétaire serait empêché de le respecter.</w:t>
      </w:r>
    </w:p>
    <w:p w14:paraId="3D94A33E" w14:textId="62DDCCF1" w:rsidR="00CA0710" w:rsidRPr="00A65E05" w:rsidRDefault="006D78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Article 11</w:t>
      </w:r>
      <w:r w:rsidR="008556BD" w:rsidRPr="00A65E05">
        <w:rPr>
          <w:rFonts w:ascii="Arial" w:hAnsi="Arial" w:cs="Arial"/>
          <w:b/>
          <w:sz w:val="24"/>
          <w:szCs w:val="24"/>
          <w:lang w:val="fr-LU"/>
        </w:rPr>
        <w:t xml:space="preserve">. </w:t>
      </w:r>
      <w:r w:rsidR="0048477A" w:rsidRPr="00A65E05">
        <w:rPr>
          <w:rFonts w:ascii="Arial" w:hAnsi="Arial" w:cs="Arial"/>
          <w:b/>
          <w:sz w:val="24"/>
          <w:szCs w:val="24"/>
          <w:lang w:val="fr-LU"/>
        </w:rPr>
        <w:t>Garantie d’achèvement</w:t>
      </w:r>
      <w:r w:rsidR="00211B3E" w:rsidRPr="00A65E05">
        <w:rPr>
          <w:rFonts w:ascii="Arial" w:hAnsi="Arial" w:cs="Arial"/>
          <w:b/>
          <w:sz w:val="24"/>
          <w:szCs w:val="24"/>
          <w:lang w:val="fr-LU"/>
        </w:rPr>
        <w:t xml:space="preserve"> </w:t>
      </w:r>
      <w:r w:rsidR="001D3D6E" w:rsidRPr="00A65E05">
        <w:rPr>
          <w:rStyle w:val="FootnoteReference"/>
          <w:rFonts w:ascii="Arial" w:hAnsi="Arial" w:cs="Arial"/>
          <w:b/>
          <w:sz w:val="24"/>
          <w:szCs w:val="24"/>
          <w:lang w:val="fr-LU"/>
        </w:rPr>
        <w:footnoteReference w:id="9"/>
      </w:r>
    </w:p>
    <w:p w14:paraId="0A474BC8" w14:textId="77777777" w:rsidR="0048477A" w:rsidRPr="00A65E05" w:rsidRDefault="0048477A"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Conformément </w:t>
      </w:r>
      <w:r w:rsidR="00E53F1C" w:rsidRPr="00A65E05">
        <w:rPr>
          <w:rFonts w:ascii="Arial" w:hAnsi="Arial" w:cs="Arial"/>
          <w:sz w:val="24"/>
          <w:szCs w:val="24"/>
          <w:lang w:val="fr-LU"/>
        </w:rPr>
        <w:t>à l’article 1601-5</w:t>
      </w:r>
      <w:r w:rsidR="00286D55" w:rsidRPr="00A65E05">
        <w:rPr>
          <w:rFonts w:ascii="Arial" w:hAnsi="Arial" w:cs="Arial"/>
          <w:sz w:val="24"/>
          <w:szCs w:val="24"/>
          <w:lang w:val="fr-LU"/>
        </w:rPr>
        <w:t>, f),</w:t>
      </w:r>
      <w:r w:rsidR="00E53F1C" w:rsidRPr="00A65E05">
        <w:rPr>
          <w:rFonts w:ascii="Arial" w:hAnsi="Arial" w:cs="Arial"/>
          <w:sz w:val="24"/>
          <w:szCs w:val="24"/>
          <w:lang w:val="fr-LU"/>
        </w:rPr>
        <w:t xml:space="preserve"> du Code civil, l’acte authentique portant conclusion de la vente en état futur d’achèvement prévoira une garantie d’achèvement complet dans les termes du cahier des charges ou du remboursement des versements effectués en cas de résolution du contrat à défaut d’achèvement, </w:t>
      </w:r>
      <w:r w:rsidR="00FC46FC" w:rsidRPr="00A65E05">
        <w:rPr>
          <w:rFonts w:ascii="Arial" w:hAnsi="Arial" w:cs="Arial"/>
          <w:sz w:val="24"/>
          <w:szCs w:val="24"/>
          <w:lang w:val="fr-LU"/>
        </w:rPr>
        <w:t>selon les</w:t>
      </w:r>
      <w:r w:rsidR="00E53F1C" w:rsidRPr="00A65E05">
        <w:rPr>
          <w:rFonts w:ascii="Arial" w:hAnsi="Arial" w:cs="Arial"/>
          <w:sz w:val="24"/>
          <w:szCs w:val="24"/>
          <w:lang w:val="fr-LU"/>
        </w:rPr>
        <w:t xml:space="preserve"> conditions et modalités du règlement grand-ducal du 3 octobre 1978 déterminant la garantie d'achèvement des travaux d'aménagement en cas de vente de terrain à bâtir</w:t>
      </w:r>
      <w:r w:rsidR="00692E59" w:rsidRPr="00A65E05">
        <w:rPr>
          <w:rFonts w:ascii="Arial" w:hAnsi="Arial" w:cs="Arial"/>
          <w:sz w:val="24"/>
          <w:szCs w:val="24"/>
          <w:lang w:val="fr-LU"/>
        </w:rPr>
        <w:t>.</w:t>
      </w:r>
    </w:p>
    <w:p w14:paraId="44988251" w14:textId="4CE586D4" w:rsidR="00491FE1" w:rsidRPr="00A65E05" w:rsidRDefault="00281F9B"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Cette garantie </w:t>
      </w:r>
      <w:r w:rsidR="00491FE1" w:rsidRPr="00A65E05">
        <w:rPr>
          <w:rFonts w:ascii="Arial" w:hAnsi="Arial" w:cs="Arial"/>
          <w:sz w:val="24"/>
          <w:szCs w:val="24"/>
          <w:lang w:val="fr-LU"/>
        </w:rPr>
        <w:t>se transforme en garantie de remboursement lorsqu'il est établi que la construction ne peut être réalisée matériellement ou juridiquement.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191DD3A0"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e 12</w:t>
      </w:r>
      <w:r w:rsidR="007015E1" w:rsidRPr="00A65E05">
        <w:rPr>
          <w:rFonts w:ascii="Arial" w:hAnsi="Arial" w:cs="Arial"/>
          <w:b/>
          <w:sz w:val="24"/>
          <w:szCs w:val="24"/>
          <w:lang w:val="fr-LU"/>
        </w:rPr>
        <w:t>. Conclusion de l’acte authentique</w:t>
      </w:r>
    </w:p>
    <w:p w14:paraId="19ECC354" w14:textId="5C6512C2"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logements abordables et de leurs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w:t>
      </w:r>
      <w:r w:rsidR="00B70145">
        <w:rPr>
          <w:rFonts w:ascii="Arial" w:hAnsi="Arial" w:cs="Arial"/>
          <w:sz w:val="24"/>
          <w:szCs w:val="24"/>
          <w:lang w:val="fr-LU"/>
        </w:rPr>
        <w:t xml:space="preserve"> à partir de </w:t>
      </w:r>
      <w:r w:rsidR="00855F2D">
        <w:rPr>
          <w:rFonts w:ascii="Arial" w:hAnsi="Arial" w:cs="Arial"/>
          <w:sz w:val="24"/>
          <w:szCs w:val="24"/>
          <w:lang w:val="fr-LU"/>
        </w:rPr>
        <w:t xml:space="preserve">l’approbation de la présente convention par l’autorité de tutelle.  </w:t>
      </w:r>
    </w:p>
    <w:p w14:paraId="2B0E1E4C" w14:textId="4C90359C"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Les frais d’acte notarié seront à charge </w:t>
      </w:r>
      <w:r w:rsidR="00855F2D">
        <w:rPr>
          <w:rFonts w:ascii="Arial" w:hAnsi="Arial" w:cs="Arial"/>
          <w:sz w:val="24"/>
          <w:szCs w:val="24"/>
          <w:lang w:val="fr-LU"/>
        </w:rPr>
        <w:t>du FDL</w:t>
      </w:r>
      <w:r w:rsidR="00A86739" w:rsidRPr="00A65E05">
        <w:rPr>
          <w:rFonts w:ascii="Arial" w:hAnsi="Arial" w:cs="Arial"/>
          <w:sz w:val="24"/>
          <w:szCs w:val="24"/>
          <w:lang w:val="fr-LU"/>
        </w:rPr>
        <w:t>.</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23E3163E" w14:textId="633E2E0D" w:rsidR="008A4514" w:rsidRPr="00A65E05" w:rsidRDefault="008A4514"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w:t>
      </w:r>
      <w:r w:rsidR="006D7835" w:rsidRPr="00A65E05">
        <w:rPr>
          <w:rFonts w:ascii="Arial" w:hAnsi="Arial" w:cs="Arial"/>
          <w:b/>
          <w:sz w:val="24"/>
          <w:szCs w:val="24"/>
          <w:lang w:val="fr-LU"/>
        </w:rPr>
        <w:t>rticle 13</w:t>
      </w:r>
      <w:r w:rsidRPr="00A65E05">
        <w:rPr>
          <w:rFonts w:ascii="Arial" w:hAnsi="Arial" w:cs="Arial"/>
          <w:b/>
          <w:sz w:val="24"/>
          <w:szCs w:val="24"/>
          <w:lang w:val="fr-LU"/>
        </w:rPr>
        <w:t>. Clause pénale</w:t>
      </w:r>
      <w:r w:rsidR="007015E1" w:rsidRPr="00A65E05">
        <w:rPr>
          <w:rFonts w:ascii="Arial" w:hAnsi="Arial" w:cs="Arial"/>
          <w:b/>
          <w:sz w:val="24"/>
          <w:szCs w:val="24"/>
          <w:lang w:val="fr-LU"/>
        </w:rPr>
        <w:t xml:space="preserve"> et réparation du préjudice</w:t>
      </w:r>
    </w:p>
    <w:p w14:paraId="6C9FB8A5" w14:textId="7A1A4169" w:rsidR="003B28A9" w:rsidRPr="00A65E05" w:rsidRDefault="003B28A9"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En cas de non-respect des délais prévus à l’article 10, alinéa 2, le Propriétaire est redevable </w:t>
      </w:r>
      <w:r w:rsidR="00855F2D">
        <w:rPr>
          <w:rFonts w:ascii="Arial" w:hAnsi="Arial" w:cs="Arial"/>
          <w:sz w:val="24"/>
          <w:szCs w:val="24"/>
          <w:lang w:val="fr-LU"/>
        </w:rPr>
        <w:t>au FDL</w:t>
      </w:r>
      <w:r w:rsidRPr="00A65E05">
        <w:rPr>
          <w:rFonts w:ascii="Arial" w:hAnsi="Arial" w:cs="Arial"/>
          <w:sz w:val="24"/>
          <w:szCs w:val="24"/>
          <w:lang w:val="fr-LU"/>
        </w:rPr>
        <w:t xml:space="preserve"> d’une indemnité forfaitaire s’élevant à …</w:t>
      </w:r>
      <w:r w:rsidR="00425FF8" w:rsidRPr="00A65E05">
        <w:rPr>
          <w:rFonts w:ascii="Arial" w:hAnsi="Arial" w:cs="Arial"/>
          <w:sz w:val="24"/>
          <w:szCs w:val="24"/>
          <w:lang w:val="fr-LU"/>
        </w:rPr>
        <w:t xml:space="preserve"> euros</w:t>
      </w:r>
      <w:r w:rsidRPr="00A65E05">
        <w:rPr>
          <w:rFonts w:ascii="Arial" w:hAnsi="Arial" w:cs="Arial"/>
          <w:sz w:val="24"/>
          <w:szCs w:val="24"/>
          <w:lang w:val="fr-LU"/>
        </w:rPr>
        <w:t xml:space="preserve"> par logement et par jour de retard.</w:t>
      </w:r>
    </w:p>
    <w:p w14:paraId="764526C7" w14:textId="5C4C4DF5" w:rsidR="008A4514" w:rsidRPr="00A65E05" w:rsidRDefault="008A4514"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Cependant, </w:t>
      </w:r>
      <w:r w:rsidR="00855F2D">
        <w:rPr>
          <w:rFonts w:ascii="Arial" w:hAnsi="Arial" w:cs="Arial"/>
          <w:sz w:val="24"/>
          <w:szCs w:val="24"/>
          <w:lang w:val="fr-LU"/>
        </w:rPr>
        <w:t>le FDL</w:t>
      </w:r>
      <w:r w:rsidRPr="00A65E05">
        <w:rPr>
          <w:rFonts w:ascii="Arial" w:hAnsi="Arial" w:cs="Arial"/>
          <w:sz w:val="24"/>
          <w:szCs w:val="24"/>
          <w:lang w:val="fr-LU"/>
        </w:rPr>
        <w:t xml:space="preserve"> conserve la faculté de demander la réparation du préjudice effectivement subi.</w:t>
      </w:r>
    </w:p>
    <w:p w14:paraId="54876D7A" w14:textId="77777777" w:rsidR="00186F91" w:rsidRDefault="00186F91" w:rsidP="00186F91">
      <w:pPr>
        <w:spacing w:line="276" w:lineRule="auto"/>
        <w:jc w:val="both"/>
        <w:rPr>
          <w:rFonts w:ascii="Arial" w:hAnsi="Arial" w:cs="Arial"/>
          <w:b/>
          <w:sz w:val="24"/>
          <w:szCs w:val="24"/>
          <w:lang w:val="fr-LU"/>
        </w:rPr>
      </w:pPr>
    </w:p>
    <w:p w14:paraId="78DD92A9" w14:textId="3F05973A" w:rsidR="00186F91" w:rsidRDefault="00186F91" w:rsidP="00186F91">
      <w:pPr>
        <w:spacing w:line="276" w:lineRule="auto"/>
        <w:jc w:val="both"/>
        <w:rPr>
          <w:rFonts w:ascii="Arial" w:hAnsi="Arial" w:cs="Arial"/>
          <w:b/>
          <w:sz w:val="24"/>
          <w:szCs w:val="24"/>
          <w:lang w:val="fr-LU"/>
        </w:rPr>
      </w:pPr>
      <w:r w:rsidRPr="00A65E05">
        <w:rPr>
          <w:rFonts w:ascii="Arial" w:hAnsi="Arial" w:cs="Arial"/>
          <w:b/>
          <w:sz w:val="24"/>
          <w:szCs w:val="24"/>
          <w:lang w:val="fr-LU"/>
        </w:rPr>
        <w:t>Article 14. Clause suspensive</w:t>
      </w:r>
    </w:p>
    <w:p w14:paraId="675045D8" w14:textId="63CD0BBA" w:rsidR="00186F91" w:rsidRPr="00A65E05" w:rsidRDefault="00186F91" w:rsidP="00186F91">
      <w:pPr>
        <w:spacing w:line="276" w:lineRule="auto"/>
        <w:jc w:val="both"/>
        <w:rPr>
          <w:rFonts w:ascii="Arial" w:hAnsi="Arial" w:cs="Arial"/>
          <w:sz w:val="24"/>
          <w:szCs w:val="24"/>
          <w:lang w:val="fr-LU"/>
        </w:rPr>
      </w:pPr>
      <w:r w:rsidRPr="00A65E05">
        <w:rPr>
          <w:rFonts w:ascii="Arial" w:hAnsi="Arial" w:cs="Arial"/>
          <w:sz w:val="24"/>
          <w:szCs w:val="24"/>
          <w:lang w:val="fr-LU"/>
        </w:rPr>
        <w:t xml:space="preserve">La présente convention est soumise à l’approbation du </w:t>
      </w:r>
      <w:r>
        <w:rPr>
          <w:rFonts w:ascii="Arial" w:hAnsi="Arial" w:cs="Arial"/>
          <w:sz w:val="24"/>
          <w:szCs w:val="24"/>
          <w:lang w:val="fr-LU"/>
        </w:rPr>
        <w:t>ministre</w:t>
      </w:r>
      <w:r w:rsidRPr="00A65E05">
        <w:rPr>
          <w:rFonts w:ascii="Arial" w:hAnsi="Arial" w:cs="Arial"/>
          <w:sz w:val="24"/>
          <w:szCs w:val="24"/>
          <w:lang w:val="fr-LU"/>
        </w:rPr>
        <w:t xml:space="preserve"> de tutelle</w:t>
      </w:r>
      <w:r>
        <w:rPr>
          <w:rFonts w:ascii="Arial" w:hAnsi="Arial" w:cs="Arial"/>
          <w:sz w:val="24"/>
          <w:szCs w:val="24"/>
          <w:lang w:val="fr-LU"/>
        </w:rPr>
        <w:t xml:space="preserve"> et ne sort ses effets qu’à partir de la date de cette approbation.</w:t>
      </w:r>
      <w:r w:rsidRPr="00A65E05">
        <w:rPr>
          <w:rFonts w:ascii="Arial" w:hAnsi="Arial" w:cs="Arial"/>
          <w:sz w:val="24"/>
          <w:szCs w:val="24"/>
          <w:lang w:val="fr-LU"/>
        </w:rPr>
        <w:t xml:space="preserve"> </w:t>
      </w:r>
    </w:p>
    <w:p w14:paraId="4B2CBE43" w14:textId="77777777" w:rsidR="00186F91" w:rsidRDefault="00186F91">
      <w:pPr>
        <w:rPr>
          <w:rFonts w:ascii="Arial" w:hAnsi="Arial" w:cs="Arial"/>
          <w:b/>
          <w:sz w:val="24"/>
          <w:szCs w:val="24"/>
          <w:lang w:val="fr-LU"/>
        </w:rPr>
      </w:pPr>
    </w:p>
    <w:p w14:paraId="178E573B" w14:textId="7612D022"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6D7835" w:rsidRPr="00A65E05">
        <w:rPr>
          <w:rFonts w:ascii="Arial" w:hAnsi="Arial" w:cs="Arial"/>
          <w:b/>
          <w:sz w:val="24"/>
          <w:szCs w:val="24"/>
          <w:lang w:val="fr-LU"/>
        </w:rPr>
        <w:t>1</w:t>
      </w:r>
      <w:r w:rsidR="00B70145">
        <w:rPr>
          <w:rFonts w:ascii="Arial" w:hAnsi="Arial" w:cs="Arial"/>
          <w:b/>
          <w:sz w:val="24"/>
          <w:szCs w:val="24"/>
          <w:lang w:val="fr-LU"/>
        </w:rPr>
        <w:t>4</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3625F8D1" w14:textId="77777777" w:rsidR="00186F91" w:rsidRDefault="00186F91">
      <w:pPr>
        <w:rPr>
          <w:rFonts w:ascii="Arial" w:hAnsi="Arial" w:cs="Arial"/>
          <w:b/>
          <w:sz w:val="24"/>
          <w:szCs w:val="24"/>
          <w:lang w:val="fr-LU"/>
        </w:rPr>
      </w:pPr>
      <w:r>
        <w:rPr>
          <w:rFonts w:ascii="Arial" w:hAnsi="Arial" w:cs="Arial"/>
          <w:b/>
          <w:sz w:val="24"/>
          <w:szCs w:val="24"/>
          <w:lang w:val="fr-LU"/>
        </w:rPr>
        <w:br w:type="page"/>
      </w:r>
    </w:p>
    <w:p w14:paraId="0928A875" w14:textId="4AC7AE40"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Article 1</w:t>
      </w:r>
      <w:r w:rsidR="00B70145">
        <w:rPr>
          <w:rFonts w:ascii="Arial" w:hAnsi="Arial" w:cs="Arial"/>
          <w:b/>
          <w:sz w:val="24"/>
          <w:szCs w:val="24"/>
          <w:lang w:val="fr-LU"/>
        </w:rPr>
        <w:t>5</w:t>
      </w:r>
      <w:r w:rsidR="00467816" w:rsidRPr="00A65E05">
        <w:rPr>
          <w:rFonts w:ascii="Arial" w:hAnsi="Arial" w:cs="Arial"/>
          <w:b/>
          <w:sz w:val="24"/>
          <w:szCs w:val="24"/>
          <w:lang w:val="fr-LU"/>
        </w:rPr>
        <w:t>. Divers</w:t>
      </w:r>
    </w:p>
    <w:p w14:paraId="77D34121" w14:textId="38E509EE"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BC71F4" w:rsidRPr="00A65E05">
        <w:rPr>
          <w:rFonts w:ascii="Arial" w:hAnsi="Arial" w:cs="Arial"/>
          <w:sz w:val="24"/>
          <w:szCs w:val="24"/>
          <w:lang w:val="fr-LU"/>
        </w:rPr>
        <w:t xml:space="preserve">e convention sont à charge </w:t>
      </w:r>
      <w:r w:rsidR="00855F2D">
        <w:rPr>
          <w:rFonts w:ascii="Arial" w:hAnsi="Arial" w:cs="Arial"/>
          <w:sz w:val="24"/>
          <w:szCs w:val="24"/>
          <w:lang w:val="fr-LU"/>
        </w:rPr>
        <w:t>du FDL</w:t>
      </w:r>
      <w:r w:rsidR="00A86739" w:rsidRPr="00A65E05">
        <w:rPr>
          <w:rFonts w:ascii="Arial" w:hAnsi="Arial" w:cs="Arial"/>
          <w:sz w:val="24"/>
          <w:szCs w:val="24"/>
          <w:lang w:val="fr-LU"/>
        </w:rPr>
        <w:t>.</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730F4228" w14:textId="0EB3C334" w:rsidR="00467816" w:rsidRDefault="00467816" w:rsidP="00F76013">
      <w:pPr>
        <w:spacing w:line="276" w:lineRule="auto"/>
        <w:jc w:val="both"/>
        <w:rPr>
          <w:rFonts w:ascii="Arial" w:hAnsi="Arial" w:cs="Arial"/>
          <w:sz w:val="24"/>
          <w:szCs w:val="24"/>
          <w:lang w:val="fr-LU"/>
        </w:rPr>
      </w:pPr>
    </w:p>
    <w:p w14:paraId="215468ED" w14:textId="5582539E" w:rsidR="00B6497B" w:rsidRDefault="00B6497B" w:rsidP="00F76013">
      <w:pPr>
        <w:spacing w:line="276" w:lineRule="auto"/>
        <w:jc w:val="both"/>
        <w:rPr>
          <w:rFonts w:ascii="Arial" w:hAnsi="Arial" w:cs="Arial"/>
          <w:sz w:val="24"/>
          <w:szCs w:val="24"/>
          <w:lang w:val="fr-LU"/>
        </w:rPr>
      </w:pPr>
    </w:p>
    <w:p w14:paraId="03CEA4CD" w14:textId="77777777" w:rsidR="00B6497B" w:rsidRPr="00A65E05" w:rsidRDefault="00B6497B" w:rsidP="00F76013">
      <w:pPr>
        <w:spacing w:line="276" w:lineRule="auto"/>
        <w:jc w:val="both"/>
        <w:rPr>
          <w:rFonts w:ascii="Arial" w:hAnsi="Arial" w:cs="Arial"/>
          <w:sz w:val="24"/>
          <w:szCs w:val="24"/>
          <w:lang w:val="fr-LU"/>
        </w:rPr>
      </w:pPr>
    </w:p>
    <w:p w14:paraId="2B69DDC3" w14:textId="45BAAFAD" w:rsidR="00467816" w:rsidRPr="00A65E05" w:rsidRDefault="00A86739" w:rsidP="00F76013">
      <w:pPr>
        <w:spacing w:line="276" w:lineRule="auto"/>
        <w:jc w:val="both"/>
        <w:rPr>
          <w:rFonts w:ascii="Arial" w:hAnsi="Arial" w:cs="Arial"/>
          <w:sz w:val="24"/>
          <w:szCs w:val="24"/>
          <w:lang w:val="fr-LU"/>
        </w:rPr>
      </w:pPr>
      <w:proofErr w:type="gramStart"/>
      <w:r w:rsidRPr="00A65E05">
        <w:rPr>
          <w:rFonts w:ascii="Arial" w:hAnsi="Arial" w:cs="Arial"/>
          <w:sz w:val="24"/>
          <w:szCs w:val="24"/>
          <w:lang w:val="fr-LU"/>
        </w:rPr>
        <w:t>pour</w:t>
      </w:r>
      <w:proofErr w:type="gramEnd"/>
      <w:r w:rsidRPr="00A65E05">
        <w:rPr>
          <w:rFonts w:ascii="Arial" w:hAnsi="Arial" w:cs="Arial"/>
          <w:sz w:val="24"/>
          <w:szCs w:val="24"/>
          <w:lang w:val="fr-LU"/>
        </w:rPr>
        <w:t xml:space="preserve"> </w:t>
      </w:r>
      <w:r w:rsidR="00855F2D">
        <w:rPr>
          <w:rFonts w:ascii="Arial" w:hAnsi="Arial" w:cs="Arial"/>
          <w:sz w:val="24"/>
          <w:szCs w:val="24"/>
          <w:lang w:val="fr-LU"/>
        </w:rPr>
        <w:t>le FDL</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Pr="00A65E05">
        <w:rPr>
          <w:rFonts w:ascii="Arial" w:hAnsi="Arial" w:cs="Arial"/>
          <w:sz w:val="24"/>
          <w:szCs w:val="24"/>
          <w:lang w:val="fr-LU"/>
        </w:rPr>
        <w:tab/>
      </w:r>
      <w:r w:rsidR="00467816" w:rsidRPr="00A65E05">
        <w:rPr>
          <w:rFonts w:ascii="Arial" w:hAnsi="Arial" w:cs="Arial"/>
          <w:sz w:val="24"/>
          <w:szCs w:val="24"/>
          <w:lang w:val="fr-LU"/>
        </w:rPr>
        <w:t xml:space="preserve">pour le </w:t>
      </w:r>
      <w:r w:rsidRPr="00A65E05">
        <w:rPr>
          <w:rFonts w:ascii="Arial" w:hAnsi="Arial" w:cs="Arial"/>
          <w:sz w:val="24"/>
          <w:szCs w:val="24"/>
          <w:lang w:val="fr-LU"/>
        </w:rPr>
        <w:t>Propriétaire</w:t>
      </w:r>
    </w:p>
    <w:p w14:paraId="176D449B" w14:textId="77777777" w:rsidR="009E6B35" w:rsidRPr="00A65E05" w:rsidRDefault="009E6B35" w:rsidP="00F76013">
      <w:pPr>
        <w:spacing w:line="276" w:lineRule="auto"/>
        <w:jc w:val="both"/>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2EFF52B6" w:rsidR="00037672" w:rsidRDefault="00037672">
        <w:pPr>
          <w:pStyle w:val="Footer"/>
          <w:jc w:val="right"/>
        </w:pPr>
        <w:r>
          <w:fldChar w:fldCharType="begin"/>
        </w:r>
        <w:r>
          <w:instrText xml:space="preserve"> PAGE   \* MERGEFORMAT </w:instrText>
        </w:r>
        <w:r>
          <w:fldChar w:fldCharType="separate"/>
        </w:r>
        <w:r w:rsidR="00033BC7">
          <w:rPr>
            <w:noProof/>
          </w:rPr>
          <w:t>12</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2">
    <w:p w14:paraId="2F6D931E"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 w:id="3">
    <w:p w14:paraId="22E051E2" w14:textId="3CA731C2" w:rsidR="00EA043D" w:rsidRPr="00EA043D" w:rsidRDefault="00EA043D">
      <w:pPr>
        <w:pStyle w:val="FootnoteText"/>
        <w:rPr>
          <w:lang w:val="fr-FR"/>
        </w:rPr>
      </w:pPr>
      <w:r>
        <w:rPr>
          <w:rStyle w:val="FootnoteReference"/>
        </w:rPr>
        <w:footnoteRef/>
      </w:r>
      <w:r w:rsidRPr="00EA043D">
        <w:rPr>
          <w:lang w:val="fr-FR"/>
        </w:rPr>
        <w:t xml:space="preserve"> </w:t>
      </w:r>
      <w:r w:rsidR="00033BC7">
        <w:fldChar w:fldCharType="begin"/>
      </w:r>
      <w:r w:rsidR="00033BC7" w:rsidRPr="00033BC7">
        <w:rPr>
          <w:lang w:val="fr-FR"/>
        </w:rPr>
        <w:instrText xml:space="preserve"> HYPERLINK "https://logement.public.lu/fr/professionnels/cahier-charges-aides-a-la-pierre.html" </w:instrText>
      </w:r>
      <w:r w:rsidR="00033BC7">
        <w:fldChar w:fldCharType="separate"/>
      </w:r>
      <w:r w:rsidRPr="003D5A98">
        <w:rPr>
          <w:rStyle w:val="Hyperlink"/>
          <w:lang w:val="fr-FR"/>
        </w:rPr>
        <w:t>https://logement.public.lu/fr/professionnels/cahier-charges-aides-a-la-pierre.html</w:t>
      </w:r>
      <w:r w:rsidR="00033BC7">
        <w:rPr>
          <w:rStyle w:val="Hyperlink"/>
          <w:lang w:val="fr-FR"/>
        </w:rPr>
        <w:fldChar w:fldCharType="end"/>
      </w:r>
      <w:r>
        <w:rPr>
          <w:lang w:val="fr-FR"/>
        </w:rPr>
        <w:t xml:space="preserve"> </w:t>
      </w:r>
    </w:p>
  </w:footnote>
  <w:footnote w:id="4">
    <w:p w14:paraId="49156BB7" w14:textId="5B25CA54" w:rsidR="00037672" w:rsidRDefault="00037672" w:rsidP="00F8663E">
      <w:pPr>
        <w:pStyle w:val="FootnoteText"/>
        <w:spacing w:after="120"/>
        <w:jc w:val="both"/>
        <w:rPr>
          <w:lang w:val="fr-FR"/>
        </w:rPr>
      </w:pPr>
      <w:r>
        <w:rPr>
          <w:rStyle w:val="FootnoteReference"/>
        </w:rPr>
        <w:footnoteRef/>
      </w:r>
      <w:r w:rsidRPr="00A10D36">
        <w:rPr>
          <w:lang w:val="fr-FR"/>
        </w:rPr>
        <w:t xml:space="preserve"> </w:t>
      </w:r>
      <w:r w:rsidRPr="00BF6828">
        <w:rPr>
          <w:u w:val="single"/>
          <w:lang w:val="fr-FR"/>
        </w:rPr>
        <w:t>Information :</w:t>
      </w:r>
      <w:r>
        <w:rPr>
          <w:lang w:val="fr-FR"/>
        </w:rPr>
        <w:t xml:space="preserve"> </w:t>
      </w:r>
    </w:p>
    <w:p w14:paraId="21E19679" w14:textId="25F24CE0" w:rsidR="00037672" w:rsidRDefault="00037672" w:rsidP="00F8663E">
      <w:pPr>
        <w:pStyle w:val="FootnoteText"/>
        <w:spacing w:after="120"/>
        <w:jc w:val="both"/>
        <w:rPr>
          <w:lang w:val="fr-FR"/>
        </w:rPr>
      </w:pPr>
      <w:r>
        <w:rPr>
          <w:lang w:val="fr-FR"/>
        </w:rPr>
        <w:t xml:space="preserve">L’article 6 n’est pertinent que dans l’hypothèse où le PAP comporte des fonds ou parties de fonds couverts par le plan directeur sectoriel « logement ». Dans ce cas, </w:t>
      </w:r>
      <w:r w:rsidR="00186F91">
        <w:rPr>
          <w:lang w:val="fr-FR"/>
        </w:rPr>
        <w:t>le FDL</w:t>
      </w:r>
      <w:r>
        <w:rPr>
          <w:lang w:val="fr-FR"/>
        </w:rPr>
        <w:t xml:space="preserve"> et l’initiateur du PAP peuvent</w:t>
      </w:r>
      <w:r w:rsidR="00556E2C">
        <w:rPr>
          <w:lang w:val="fr-FR"/>
        </w:rPr>
        <w:t xml:space="preserve"> facultativement</w:t>
      </w:r>
      <w:r>
        <w:rPr>
          <w:lang w:val="fr-FR"/>
        </w:rPr>
        <w:t xml:space="preserve"> convenir d’une contrepartie complémentaire pour les logements abordables supplémentaires à réaliser, conformément à </w:t>
      </w:r>
      <w:r w:rsidRPr="00BF6828">
        <w:rPr>
          <w:lang w:val="fr-FR"/>
        </w:rPr>
        <w:t>l’article 11(2), 9°, b), de la loi modifiée du 17 avril 2018 concern</w:t>
      </w:r>
      <w:r>
        <w:rPr>
          <w:lang w:val="fr-FR"/>
        </w:rPr>
        <w:t>ant l’aménagement du territoire</w:t>
      </w:r>
      <w:r w:rsidR="00556E2C">
        <w:rPr>
          <w:lang w:val="fr-FR"/>
        </w:rPr>
        <w:t>.</w:t>
      </w:r>
    </w:p>
    <w:p w14:paraId="35528F3F" w14:textId="386F4222" w:rsidR="00037672" w:rsidRDefault="00037672" w:rsidP="00F8663E">
      <w:pPr>
        <w:pStyle w:val="FootnoteText"/>
        <w:spacing w:after="120"/>
        <w:jc w:val="both"/>
        <w:rPr>
          <w:lang w:val="fr-FR"/>
        </w:rPr>
      </w:pPr>
      <w:r>
        <w:rPr>
          <w:lang w:val="fr-FR"/>
        </w:rPr>
        <w:t xml:space="preserve">Plusieurs cas de figure sont alors susceptibles </w:t>
      </w:r>
      <w:proofErr w:type="spellStart"/>
      <w:r>
        <w:rPr>
          <w:lang w:val="fr-FR"/>
        </w:rPr>
        <w:t>se</w:t>
      </w:r>
      <w:proofErr w:type="spellEnd"/>
      <w:r>
        <w:rPr>
          <w:lang w:val="fr-FR"/>
        </w:rPr>
        <w:t xml:space="preserve"> présenter :</w:t>
      </w:r>
    </w:p>
    <w:p w14:paraId="7EB32A33" w14:textId="6409FF7E" w:rsidR="00037672" w:rsidRDefault="00037672" w:rsidP="00F8663E">
      <w:pPr>
        <w:pStyle w:val="FootnoteText"/>
        <w:spacing w:after="120"/>
        <w:jc w:val="both"/>
        <w:rPr>
          <w:lang w:val="fr-FR"/>
        </w:rPr>
      </w:pPr>
      <w:r>
        <w:rPr>
          <w:lang w:val="fr-FR"/>
        </w:rPr>
        <w:t>1° une contrepartie complémentaire est fixée sous forme pécuniaire, auquel cas il convient de se référer au cas de figure 1 (en vert) de l’article 6 proposée par la présente convention-type.</w:t>
      </w:r>
    </w:p>
    <w:p w14:paraId="2DBD1D87" w14:textId="08F6CE4F" w:rsidR="00037672" w:rsidRDefault="00037672" w:rsidP="00F8663E">
      <w:pPr>
        <w:pStyle w:val="FootnoteText"/>
        <w:spacing w:after="120"/>
        <w:jc w:val="both"/>
        <w:rPr>
          <w:lang w:val="fr-FR"/>
        </w:rPr>
      </w:pPr>
      <w:r>
        <w:rPr>
          <w:lang w:val="fr-FR"/>
        </w:rPr>
        <w:t xml:space="preserve">2° une contrepartie complémentaire </w:t>
      </w:r>
      <w:r w:rsidR="00D4414D">
        <w:rPr>
          <w:lang w:val="fr-FR"/>
        </w:rPr>
        <w:t xml:space="preserve">est </w:t>
      </w:r>
      <w:r>
        <w:rPr>
          <w:lang w:val="fr-FR"/>
        </w:rPr>
        <w:t>fixée sous forme d</w:t>
      </w:r>
      <w:r w:rsidR="00D4414D">
        <w:rPr>
          <w:lang w:val="fr-FR"/>
        </w:rPr>
        <w:t xml:space="preserve">’une </w:t>
      </w:r>
      <w:proofErr w:type="spellStart"/>
      <w:r w:rsidR="00D4414D">
        <w:rPr>
          <w:lang w:val="fr-FR"/>
        </w:rPr>
        <w:t>augementation</w:t>
      </w:r>
      <w:proofErr w:type="spellEnd"/>
      <w:r w:rsidR="00D4414D">
        <w:rPr>
          <w:lang w:val="fr-FR"/>
        </w:rPr>
        <w:t xml:space="preserve"> du degré d’utilisation du sol</w:t>
      </w:r>
      <w:r>
        <w:rPr>
          <w:lang w:val="fr-FR"/>
        </w:rPr>
        <w:t>. I</w:t>
      </w:r>
      <w:r w:rsidR="00D4414D">
        <w:rPr>
          <w:lang w:val="fr-FR"/>
        </w:rPr>
        <w:t xml:space="preserve">l est recommandé d’encadrer cette </w:t>
      </w:r>
      <w:r>
        <w:rPr>
          <w:lang w:val="fr-FR"/>
        </w:rPr>
        <w:t xml:space="preserve">contrepartie par une convention préalable à signer avant l’adoption du PAP, alors </w:t>
      </w:r>
      <w:r w:rsidR="00D4414D">
        <w:rPr>
          <w:lang w:val="fr-FR"/>
        </w:rPr>
        <w:t xml:space="preserve">qu’une telle augmentation </w:t>
      </w:r>
      <w:r w:rsidR="00556E2C">
        <w:rPr>
          <w:lang w:val="fr-FR"/>
        </w:rPr>
        <w:t>nécessite une modification ponctuelle du PAG</w:t>
      </w:r>
      <w:r>
        <w:rPr>
          <w:lang w:val="fr-FR"/>
        </w:rPr>
        <w:t>. Dans la mesure où le collège échevinal ne saurait garantir l’aboutissement de la procédure d’adoption d’une telle modification (impliquant également l’intervention du conseil communal et de l’autorité de tutell</w:t>
      </w:r>
      <w:r w:rsidR="00E30EEE">
        <w:rPr>
          <w:lang w:val="fr-FR"/>
        </w:rPr>
        <w:t>e</w:t>
      </w:r>
      <w:r>
        <w:rPr>
          <w:lang w:val="fr-FR"/>
        </w:rPr>
        <w:t xml:space="preserve">), il est impératif de conclure cette convention préalable sous condition suspensive. </w:t>
      </w:r>
    </w:p>
    <w:p w14:paraId="4B229903" w14:textId="3F200C08" w:rsidR="00037672" w:rsidRPr="00A10D36" w:rsidRDefault="00037672" w:rsidP="00F8663E">
      <w:pPr>
        <w:pStyle w:val="FootnoteText"/>
        <w:spacing w:after="120"/>
        <w:jc w:val="both"/>
        <w:rPr>
          <w:lang w:val="fr-FR"/>
        </w:rPr>
      </w:pPr>
      <w:r>
        <w:rPr>
          <w:lang w:val="fr-FR"/>
        </w:rPr>
        <w:t>3° aucune contrepartie complémentaire n’est fixée, auquel cas il convient de se référer au cas de figure 3 (en orange) de l’article 6 proposée par la présente convention-type.</w:t>
      </w:r>
    </w:p>
  </w:footnote>
  <w:footnote w:id="5">
    <w:p w14:paraId="617C21A4" w14:textId="77777777" w:rsidR="0000718C" w:rsidRDefault="0000718C" w:rsidP="0000718C">
      <w:pPr>
        <w:pStyle w:val="FootnoteText"/>
        <w:spacing w:after="120"/>
        <w:jc w:val="both"/>
        <w:rPr>
          <w:lang w:val="fr-FR"/>
        </w:rPr>
      </w:pPr>
      <w:r>
        <w:rPr>
          <w:rStyle w:val="FootnoteReference"/>
        </w:rPr>
        <w:footnoteRef/>
      </w:r>
      <w:r w:rsidRPr="00A10D36">
        <w:rPr>
          <w:lang w:val="fr-FR"/>
        </w:rPr>
        <w:t xml:space="preserve"> </w:t>
      </w:r>
      <w:r w:rsidRPr="00BF6828">
        <w:rPr>
          <w:u w:val="single"/>
          <w:lang w:val="fr-FR"/>
        </w:rPr>
        <w:t>Information :</w:t>
      </w:r>
      <w:r>
        <w:rPr>
          <w:lang w:val="fr-FR"/>
        </w:rPr>
        <w:t xml:space="preserve"> </w:t>
      </w:r>
    </w:p>
    <w:p w14:paraId="72237188" w14:textId="668EE2BA" w:rsidR="0000718C" w:rsidRDefault="0000718C" w:rsidP="0000718C">
      <w:pPr>
        <w:pStyle w:val="FootnoteText"/>
        <w:spacing w:after="120"/>
        <w:jc w:val="both"/>
        <w:rPr>
          <w:lang w:val="fr-FR"/>
        </w:rPr>
      </w:pPr>
      <w:r>
        <w:rPr>
          <w:lang w:val="fr-FR"/>
        </w:rPr>
        <w:t xml:space="preserve">L’article 6 n’est pertinent que dans l’hypothèse où le PAP comporte des fonds ou parties de fonds couverts par le plan directeur sectoriel « logement ». Dans ce cas, le FDL et l’initiateur du PAP peuvent facultativement convenir d’une contrepartie complémentaire pour les logements abordables supplémentaires à réaliser, conformément à </w:t>
      </w:r>
      <w:r w:rsidRPr="00BF6828">
        <w:rPr>
          <w:lang w:val="fr-FR"/>
        </w:rPr>
        <w:t>l’article 11(2), 9°, b), de la loi modifiée du 17 avril 2018 concern</w:t>
      </w:r>
      <w:r>
        <w:rPr>
          <w:lang w:val="fr-FR"/>
        </w:rPr>
        <w:t>ant l’aménagement du territoire.</w:t>
      </w:r>
    </w:p>
    <w:p w14:paraId="54C77042" w14:textId="77777777" w:rsidR="0000718C" w:rsidRDefault="0000718C" w:rsidP="0000718C">
      <w:pPr>
        <w:pStyle w:val="FootnoteText"/>
        <w:spacing w:after="120"/>
        <w:jc w:val="both"/>
        <w:rPr>
          <w:lang w:val="fr-FR"/>
        </w:rPr>
      </w:pPr>
      <w:r>
        <w:rPr>
          <w:lang w:val="fr-FR"/>
        </w:rPr>
        <w:t xml:space="preserve">Plusieurs cas de figure sont alors susceptibles </w:t>
      </w:r>
      <w:proofErr w:type="spellStart"/>
      <w:r>
        <w:rPr>
          <w:lang w:val="fr-FR"/>
        </w:rPr>
        <w:t>se</w:t>
      </w:r>
      <w:proofErr w:type="spellEnd"/>
      <w:r>
        <w:rPr>
          <w:lang w:val="fr-FR"/>
        </w:rPr>
        <w:t xml:space="preserve"> présenter :</w:t>
      </w:r>
    </w:p>
    <w:p w14:paraId="022A6594" w14:textId="77777777" w:rsidR="0000718C" w:rsidRDefault="0000718C" w:rsidP="0000718C">
      <w:pPr>
        <w:pStyle w:val="FootnoteText"/>
        <w:spacing w:after="120"/>
        <w:jc w:val="both"/>
        <w:rPr>
          <w:lang w:val="fr-FR"/>
        </w:rPr>
      </w:pPr>
      <w:r>
        <w:rPr>
          <w:lang w:val="fr-FR"/>
        </w:rPr>
        <w:t>1° une contrepartie complémentaire est fixée sous forme pécuniaire, auquel cas il convient de se référer au cas de figure 1 (en vert) de l’article 6 proposée par la présente convention-type.</w:t>
      </w:r>
    </w:p>
    <w:p w14:paraId="2F878AD3" w14:textId="77777777" w:rsidR="0000718C" w:rsidRPr="00A10D36" w:rsidRDefault="0000718C" w:rsidP="0000718C">
      <w:pPr>
        <w:pStyle w:val="FootnoteText"/>
        <w:spacing w:after="120"/>
        <w:jc w:val="both"/>
        <w:rPr>
          <w:lang w:val="fr-FR"/>
        </w:rPr>
      </w:pPr>
      <w:r>
        <w:rPr>
          <w:lang w:val="fr-FR"/>
        </w:rPr>
        <w:t>2° aucune contrepartie complémentaire n’est fixée, auquel cas il convient de se référer au cas de figure 3 (en bleu) de l’article 6 proposée par la présente convention-type.</w:t>
      </w:r>
    </w:p>
  </w:footnote>
  <w:footnote w:id="6">
    <w:p w14:paraId="6AD16B2A" w14:textId="3EF1FC22" w:rsidR="00CC627E" w:rsidRPr="00CC627E" w:rsidRDefault="00CC627E">
      <w:pPr>
        <w:pStyle w:val="FootnoteText"/>
        <w:rPr>
          <w:lang w:val="fr-FR"/>
        </w:rPr>
      </w:pPr>
      <w:r>
        <w:rPr>
          <w:rStyle w:val="FootnoteReference"/>
        </w:rPr>
        <w:footnoteRef/>
      </w:r>
      <w:r w:rsidRPr="00CC627E">
        <w:rPr>
          <w:lang w:val="fr-FR"/>
        </w:rPr>
        <w:t xml:space="preserve"> </w:t>
      </w:r>
      <w:r w:rsidR="00D16A5B" w:rsidRPr="00D16A5B">
        <w:rPr>
          <w:u w:val="single"/>
          <w:lang w:val="fr-FR"/>
        </w:rPr>
        <w:t>Information :</w:t>
      </w:r>
      <w:r w:rsidR="00D16A5B">
        <w:rPr>
          <w:lang w:val="fr-FR"/>
        </w:rPr>
        <w:t xml:space="preserve"> Cette liste est exemplative et doit impérativement être adaptée en fonction de chaque projet.</w:t>
      </w:r>
    </w:p>
  </w:footnote>
  <w:footnote w:id="7">
    <w:p w14:paraId="25B86E27" w14:textId="71402DC6" w:rsidR="00037672" w:rsidRPr="003C1CCE" w:rsidRDefault="00037672">
      <w:pPr>
        <w:pStyle w:val="FootnoteText"/>
        <w:rPr>
          <w:lang w:val="fr-FR"/>
        </w:rPr>
      </w:pPr>
      <w:r w:rsidRPr="001D3D6E">
        <w:rPr>
          <w:rStyle w:val="FootnoteReference"/>
        </w:rPr>
        <w:footnoteRef/>
      </w:r>
      <w:r w:rsidRPr="001D3D6E">
        <w:rPr>
          <w:lang w:val="fr-FR"/>
        </w:rPr>
        <w:t xml:space="preserve"> </w:t>
      </w:r>
      <w:r w:rsidRPr="00D16A5B">
        <w:rPr>
          <w:u w:val="single"/>
          <w:lang w:val="fr-FR"/>
        </w:rPr>
        <w:t>Information :</w:t>
      </w:r>
      <w:r>
        <w:rPr>
          <w:lang w:val="fr-FR"/>
        </w:rPr>
        <w:t xml:space="preserve"> En outre, dans l’hypothèse d’une</w:t>
      </w:r>
      <w:r w:rsidRPr="001D3D6E">
        <w:rPr>
          <w:lang w:val="fr-FR"/>
        </w:rPr>
        <w:t xml:space="preserve"> construction en copropriété, un règlement de copropriété </w:t>
      </w:r>
      <w:r>
        <w:rPr>
          <w:lang w:val="fr-FR"/>
        </w:rPr>
        <w:t xml:space="preserve">devra être dressé </w:t>
      </w:r>
      <w:r w:rsidR="00086838">
        <w:rPr>
          <w:lang w:val="fr-FR"/>
        </w:rPr>
        <w:t xml:space="preserve">ultérieurement </w:t>
      </w:r>
      <w:r>
        <w:rPr>
          <w:lang w:val="fr-FR"/>
        </w:rPr>
        <w:t>afin d’accompagner la signature de l’acte authentique opérant la cession.</w:t>
      </w:r>
    </w:p>
  </w:footnote>
  <w:footnote w:id="8">
    <w:p w14:paraId="547A00E5" w14:textId="79E6F13F" w:rsidR="00C65FBB" w:rsidRPr="00C65FBB" w:rsidRDefault="00C65FBB">
      <w:pPr>
        <w:pStyle w:val="FootnoteText"/>
        <w:rPr>
          <w:lang w:val="fr-FR"/>
        </w:rPr>
      </w:pPr>
      <w:r>
        <w:rPr>
          <w:rStyle w:val="FootnoteReference"/>
        </w:rPr>
        <w:footnoteRef/>
      </w:r>
      <w:r w:rsidRPr="00C65FBB">
        <w:rPr>
          <w:lang w:val="fr-FR"/>
        </w:rPr>
        <w:t xml:space="preserve"> </w:t>
      </w:r>
      <w:r>
        <w:rPr>
          <w:u w:val="single"/>
          <w:lang w:val="fr-FR"/>
        </w:rPr>
        <w:t>Information :</w:t>
      </w:r>
      <w:r>
        <w:rPr>
          <w:lang w:val="fr-FR"/>
        </w:rPr>
        <w:t xml:space="preserve"> Ce cahier des charges est à élaborer de manière détaillée en fonction des spécificités du projet.</w:t>
      </w:r>
    </w:p>
  </w:footnote>
  <w:footnote w:id="9">
    <w:p w14:paraId="36C2BF3A" w14:textId="5890770B" w:rsidR="00037672" w:rsidRPr="001D3D6E" w:rsidRDefault="00037672" w:rsidP="002E382E">
      <w:pPr>
        <w:pStyle w:val="FootnoteText"/>
        <w:jc w:val="both"/>
        <w:rPr>
          <w:lang w:val="fr-FR"/>
        </w:rPr>
      </w:pPr>
      <w:r>
        <w:rPr>
          <w:rStyle w:val="FootnoteReference"/>
        </w:rPr>
        <w:footnoteRef/>
      </w:r>
      <w:r w:rsidRPr="001D3D6E">
        <w:rPr>
          <w:lang w:val="fr-FR"/>
        </w:rPr>
        <w:t xml:space="preserve"> Cette garantie n'est pas exigée pour les constructions réalisées directement par l'Etat, les communes, les établissements publics et les sociétés dans lesquelles ces collectivités possèdent une participation majoritaire.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0718C"/>
    <w:rsid w:val="00012BBB"/>
    <w:rsid w:val="00017C31"/>
    <w:rsid w:val="000233F1"/>
    <w:rsid w:val="00033BC7"/>
    <w:rsid w:val="0003443E"/>
    <w:rsid w:val="00034C7A"/>
    <w:rsid w:val="00035FD1"/>
    <w:rsid w:val="00037672"/>
    <w:rsid w:val="00046A33"/>
    <w:rsid w:val="00067599"/>
    <w:rsid w:val="00072E43"/>
    <w:rsid w:val="00077AB9"/>
    <w:rsid w:val="00086838"/>
    <w:rsid w:val="0009191F"/>
    <w:rsid w:val="00091D6A"/>
    <w:rsid w:val="000931D0"/>
    <w:rsid w:val="000A46FF"/>
    <w:rsid w:val="000A6942"/>
    <w:rsid w:val="000B5BC6"/>
    <w:rsid w:val="000C289E"/>
    <w:rsid w:val="000C3587"/>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72D3D"/>
    <w:rsid w:val="00174D0E"/>
    <w:rsid w:val="0017686D"/>
    <w:rsid w:val="00186F91"/>
    <w:rsid w:val="00190EBA"/>
    <w:rsid w:val="0019435E"/>
    <w:rsid w:val="001970E5"/>
    <w:rsid w:val="001A1E76"/>
    <w:rsid w:val="001A4506"/>
    <w:rsid w:val="001A5316"/>
    <w:rsid w:val="001B6773"/>
    <w:rsid w:val="001C0C58"/>
    <w:rsid w:val="001C7C38"/>
    <w:rsid w:val="001D36A8"/>
    <w:rsid w:val="001D3D6E"/>
    <w:rsid w:val="001D5041"/>
    <w:rsid w:val="002007A8"/>
    <w:rsid w:val="00202B72"/>
    <w:rsid w:val="002037D8"/>
    <w:rsid w:val="0020680A"/>
    <w:rsid w:val="002075A8"/>
    <w:rsid w:val="00211B3E"/>
    <w:rsid w:val="002125AA"/>
    <w:rsid w:val="00214D9B"/>
    <w:rsid w:val="00222201"/>
    <w:rsid w:val="00233BE5"/>
    <w:rsid w:val="002434AD"/>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26DB"/>
    <w:rsid w:val="00343E1A"/>
    <w:rsid w:val="00346512"/>
    <w:rsid w:val="00352C2A"/>
    <w:rsid w:val="00366BB6"/>
    <w:rsid w:val="00384D55"/>
    <w:rsid w:val="003A5E6D"/>
    <w:rsid w:val="003B0F98"/>
    <w:rsid w:val="003B233E"/>
    <w:rsid w:val="003B28A9"/>
    <w:rsid w:val="003B2E0A"/>
    <w:rsid w:val="003B32A3"/>
    <w:rsid w:val="003C1CCE"/>
    <w:rsid w:val="003D52BF"/>
    <w:rsid w:val="003E0D7C"/>
    <w:rsid w:val="003E7CC4"/>
    <w:rsid w:val="00402E1A"/>
    <w:rsid w:val="00415D83"/>
    <w:rsid w:val="00420162"/>
    <w:rsid w:val="004217DA"/>
    <w:rsid w:val="00425FF8"/>
    <w:rsid w:val="0043349D"/>
    <w:rsid w:val="0043508A"/>
    <w:rsid w:val="00435441"/>
    <w:rsid w:val="00435C5D"/>
    <w:rsid w:val="00452BE4"/>
    <w:rsid w:val="0045356B"/>
    <w:rsid w:val="00456F1A"/>
    <w:rsid w:val="00462DC6"/>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D3539"/>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D4C77"/>
    <w:rsid w:val="005F55F3"/>
    <w:rsid w:val="005F64E0"/>
    <w:rsid w:val="005F6849"/>
    <w:rsid w:val="00601951"/>
    <w:rsid w:val="006033A8"/>
    <w:rsid w:val="00607631"/>
    <w:rsid w:val="006164D2"/>
    <w:rsid w:val="006176B2"/>
    <w:rsid w:val="00623F27"/>
    <w:rsid w:val="00670C3D"/>
    <w:rsid w:val="00671356"/>
    <w:rsid w:val="0067688B"/>
    <w:rsid w:val="00687B30"/>
    <w:rsid w:val="00692E59"/>
    <w:rsid w:val="006A0424"/>
    <w:rsid w:val="006B0FD7"/>
    <w:rsid w:val="006C5BD3"/>
    <w:rsid w:val="006D2E77"/>
    <w:rsid w:val="006D6673"/>
    <w:rsid w:val="006D7835"/>
    <w:rsid w:val="006F45D7"/>
    <w:rsid w:val="006F5DDF"/>
    <w:rsid w:val="006F64D2"/>
    <w:rsid w:val="007015E1"/>
    <w:rsid w:val="00707595"/>
    <w:rsid w:val="007143B0"/>
    <w:rsid w:val="00730797"/>
    <w:rsid w:val="00733487"/>
    <w:rsid w:val="007452C4"/>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2325"/>
    <w:rsid w:val="008025B1"/>
    <w:rsid w:val="0081113A"/>
    <w:rsid w:val="00813619"/>
    <w:rsid w:val="0082685A"/>
    <w:rsid w:val="008440FC"/>
    <w:rsid w:val="0085484F"/>
    <w:rsid w:val="00855330"/>
    <w:rsid w:val="008556BD"/>
    <w:rsid w:val="00855F2D"/>
    <w:rsid w:val="00862C36"/>
    <w:rsid w:val="0086757A"/>
    <w:rsid w:val="00867BDD"/>
    <w:rsid w:val="00882AA7"/>
    <w:rsid w:val="008847DE"/>
    <w:rsid w:val="00886FFB"/>
    <w:rsid w:val="008922BE"/>
    <w:rsid w:val="008964EA"/>
    <w:rsid w:val="00897E14"/>
    <w:rsid w:val="008A16AA"/>
    <w:rsid w:val="008A257B"/>
    <w:rsid w:val="008A4514"/>
    <w:rsid w:val="008B1DA6"/>
    <w:rsid w:val="008B2D25"/>
    <w:rsid w:val="008B4C27"/>
    <w:rsid w:val="008B5FEC"/>
    <w:rsid w:val="008D0034"/>
    <w:rsid w:val="008D5614"/>
    <w:rsid w:val="008E6613"/>
    <w:rsid w:val="00900A07"/>
    <w:rsid w:val="00905FBE"/>
    <w:rsid w:val="00911ADD"/>
    <w:rsid w:val="009145B5"/>
    <w:rsid w:val="00926B68"/>
    <w:rsid w:val="00930885"/>
    <w:rsid w:val="00932EE6"/>
    <w:rsid w:val="009339F4"/>
    <w:rsid w:val="00946AF1"/>
    <w:rsid w:val="00947C6B"/>
    <w:rsid w:val="00964708"/>
    <w:rsid w:val="00964865"/>
    <w:rsid w:val="00976BD9"/>
    <w:rsid w:val="00981C79"/>
    <w:rsid w:val="009823E1"/>
    <w:rsid w:val="0098639E"/>
    <w:rsid w:val="00997B10"/>
    <w:rsid w:val="009A3A49"/>
    <w:rsid w:val="009A4475"/>
    <w:rsid w:val="009A4870"/>
    <w:rsid w:val="009B5C62"/>
    <w:rsid w:val="009B6226"/>
    <w:rsid w:val="009C36ED"/>
    <w:rsid w:val="009C4718"/>
    <w:rsid w:val="009D3E4A"/>
    <w:rsid w:val="009D5E29"/>
    <w:rsid w:val="009D61DD"/>
    <w:rsid w:val="009E6B35"/>
    <w:rsid w:val="00A10BF4"/>
    <w:rsid w:val="00A10D36"/>
    <w:rsid w:val="00A14927"/>
    <w:rsid w:val="00A16BFD"/>
    <w:rsid w:val="00A20052"/>
    <w:rsid w:val="00A2212C"/>
    <w:rsid w:val="00A2601E"/>
    <w:rsid w:val="00A27109"/>
    <w:rsid w:val="00A31EDE"/>
    <w:rsid w:val="00A3476C"/>
    <w:rsid w:val="00A40853"/>
    <w:rsid w:val="00A43C43"/>
    <w:rsid w:val="00A45B7C"/>
    <w:rsid w:val="00A54850"/>
    <w:rsid w:val="00A609CD"/>
    <w:rsid w:val="00A65E05"/>
    <w:rsid w:val="00A70653"/>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11290"/>
    <w:rsid w:val="00B128CD"/>
    <w:rsid w:val="00B14E5B"/>
    <w:rsid w:val="00B17F6C"/>
    <w:rsid w:val="00B21875"/>
    <w:rsid w:val="00B21EEA"/>
    <w:rsid w:val="00B27A62"/>
    <w:rsid w:val="00B3133A"/>
    <w:rsid w:val="00B428CD"/>
    <w:rsid w:val="00B455EE"/>
    <w:rsid w:val="00B5795D"/>
    <w:rsid w:val="00B6497B"/>
    <w:rsid w:val="00B70145"/>
    <w:rsid w:val="00B70786"/>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6A5B"/>
    <w:rsid w:val="00D23F31"/>
    <w:rsid w:val="00D42C07"/>
    <w:rsid w:val="00D4414D"/>
    <w:rsid w:val="00D46B1D"/>
    <w:rsid w:val="00D52B6F"/>
    <w:rsid w:val="00D67205"/>
    <w:rsid w:val="00D70A75"/>
    <w:rsid w:val="00D93CBE"/>
    <w:rsid w:val="00DB509B"/>
    <w:rsid w:val="00DC3C6A"/>
    <w:rsid w:val="00DD47D5"/>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7196D"/>
    <w:rsid w:val="00E82AFD"/>
    <w:rsid w:val="00EA043D"/>
    <w:rsid w:val="00EB1E4F"/>
    <w:rsid w:val="00ED3777"/>
    <w:rsid w:val="00ED482F"/>
    <w:rsid w:val="00ED5510"/>
    <w:rsid w:val="00EE0C08"/>
    <w:rsid w:val="00EE237C"/>
    <w:rsid w:val="00EE2C15"/>
    <w:rsid w:val="00EF1CFC"/>
    <w:rsid w:val="00EF4D92"/>
    <w:rsid w:val="00EF5C56"/>
    <w:rsid w:val="00EF705C"/>
    <w:rsid w:val="00F03723"/>
    <w:rsid w:val="00F1371C"/>
    <w:rsid w:val="00F17D9F"/>
    <w:rsid w:val="00F236E7"/>
    <w:rsid w:val="00F3063C"/>
    <w:rsid w:val="00F61DA3"/>
    <w:rsid w:val="00F64B5F"/>
    <w:rsid w:val="00F66F10"/>
    <w:rsid w:val="00F703D9"/>
    <w:rsid w:val="00F71A1D"/>
    <w:rsid w:val="00F74674"/>
    <w:rsid w:val="00F76013"/>
    <w:rsid w:val="00F8663E"/>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2.xml><?xml version="1.0" encoding="utf-8"?>
<ds:datastoreItem xmlns:ds="http://schemas.openxmlformats.org/officeDocument/2006/customXml" ds:itemID="{D98ED557-0C72-4C79-AFFD-CA39383FCE7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2fd9b33-8389-4ac0-927d-34fa2d19ec95"/>
    <ds:schemaRef ds:uri="http://www.w3.org/XML/1998/namespace"/>
  </ds:schemaRefs>
</ds:datastoreItem>
</file>

<file path=customXml/itemProps3.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BD1CC-4B8E-46E5-8D9D-67DD0CF1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2721</Words>
  <Characters>15513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5</cp:revision>
  <cp:lastPrinted>2022-02-11T09:23:00Z</cp:lastPrinted>
  <dcterms:created xsi:type="dcterms:W3CDTF">2022-03-23T09:26:00Z</dcterms:created>
  <dcterms:modified xsi:type="dcterms:W3CDTF">2022-04-04T15:27:00Z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